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187A8" w14:textId="14AE76C6" w:rsidR="007D3543" w:rsidRPr="002D5317" w:rsidRDefault="00C750A8" w:rsidP="002D5317">
      <w:pPr>
        <w:pStyle w:val="ListParagraph"/>
        <w:numPr>
          <w:ilvl w:val="0"/>
          <w:numId w:val="21"/>
        </w:numPr>
        <w:pBdr>
          <w:bottom w:val="single" w:sz="4" w:space="1" w:color="auto"/>
        </w:pBdr>
        <w:ind w:left="360"/>
        <w:rPr>
          <w:b/>
          <w:sz w:val="28"/>
        </w:rPr>
      </w:pPr>
      <w:r w:rsidRPr="002D5317">
        <w:rPr>
          <w:b/>
          <w:sz w:val="28"/>
        </w:rPr>
        <w:t>Bac</w:t>
      </w:r>
      <w:r w:rsidR="00E03E47" w:rsidRPr="002D5317">
        <w:rPr>
          <w:b/>
          <w:sz w:val="28"/>
        </w:rPr>
        <w:t>k</w:t>
      </w:r>
      <w:r w:rsidRPr="002D5317">
        <w:rPr>
          <w:b/>
          <w:sz w:val="28"/>
        </w:rPr>
        <w:t xml:space="preserve">ground and </w:t>
      </w:r>
      <w:r w:rsidR="00573543" w:rsidRPr="002D5317">
        <w:rPr>
          <w:b/>
          <w:sz w:val="28"/>
        </w:rPr>
        <w:t>Trends</w:t>
      </w:r>
    </w:p>
    <w:p w14:paraId="1928AD60" w14:textId="77777777" w:rsidR="00BC7300" w:rsidRPr="00A40A7E" w:rsidRDefault="00BC7300" w:rsidP="00C750A8">
      <w:pPr>
        <w:pStyle w:val="NormalWeb"/>
        <w:shd w:val="clear" w:color="auto" w:fill="FFFFFF"/>
        <w:spacing w:before="0" w:beforeAutospacing="0" w:after="0" w:afterAutospacing="0" w:line="300" w:lineRule="atLeast"/>
        <w:rPr>
          <w:rFonts w:asciiTheme="minorHAnsi" w:hAnsiTheme="minorHAnsi" w:cs="Arial"/>
          <w:color w:val="2D2319"/>
        </w:rPr>
      </w:pPr>
    </w:p>
    <w:p w14:paraId="3D8079B5" w14:textId="04C9F9B0" w:rsidR="009451DC" w:rsidRPr="00F97DBC" w:rsidRDefault="009451DC" w:rsidP="009451DC">
      <w:pPr>
        <w:rPr>
          <w:rFonts w:eastAsia="Times New Roman" w:cs="Arial"/>
          <w:b/>
          <w:color w:val="2D2319"/>
          <w:shd w:val="clear" w:color="auto" w:fill="FFFFFF"/>
        </w:rPr>
      </w:pPr>
      <w:r w:rsidRPr="00F97DBC">
        <w:rPr>
          <w:rFonts w:eastAsia="Times New Roman" w:cs="Arial"/>
          <w:b/>
          <w:color w:val="2D2319"/>
          <w:shd w:val="clear" w:color="auto" w:fill="FFFFFF"/>
        </w:rPr>
        <w:t>Global Student Mobility:</w:t>
      </w:r>
    </w:p>
    <w:p w14:paraId="537C7BC0" w14:textId="7C2BC366" w:rsidR="009451DC" w:rsidRPr="00A40A7E" w:rsidRDefault="009451DC" w:rsidP="009451DC">
      <w:pPr>
        <w:rPr>
          <w:rFonts w:eastAsia="Times New Roman" w:cs="Arial"/>
          <w:color w:val="2D2319"/>
          <w:shd w:val="clear" w:color="auto" w:fill="FFFFFF"/>
        </w:rPr>
      </w:pPr>
      <w:proofErr w:type="spellStart"/>
      <w:r w:rsidRPr="00A40A7E">
        <w:rPr>
          <w:rFonts w:eastAsia="Times New Roman" w:cs="Arial"/>
          <w:color w:val="2D2319"/>
          <w:shd w:val="clear" w:color="auto" w:fill="FFFFFF"/>
        </w:rPr>
        <w:t>Nr</w:t>
      </w:r>
      <w:proofErr w:type="spellEnd"/>
      <w:r w:rsidRPr="00A40A7E">
        <w:rPr>
          <w:rFonts w:eastAsia="Times New Roman" w:cs="Arial"/>
          <w:color w:val="2D2319"/>
          <w:shd w:val="clear" w:color="auto" w:fill="FFFFFF"/>
        </w:rPr>
        <w:t xml:space="preserve"> of students studying outside their country:</w:t>
      </w:r>
    </w:p>
    <w:p w14:paraId="5FEC0294" w14:textId="30C22DE9" w:rsidR="009451DC" w:rsidRPr="00A40A7E" w:rsidRDefault="009451DC" w:rsidP="009451DC">
      <w:pPr>
        <w:pStyle w:val="ListParagraph"/>
        <w:numPr>
          <w:ilvl w:val="0"/>
          <w:numId w:val="15"/>
        </w:numPr>
        <w:rPr>
          <w:rFonts w:eastAsia="Times New Roman" w:cs="Arial"/>
          <w:color w:val="2D2319"/>
          <w:shd w:val="clear" w:color="auto" w:fill="FFFFFF"/>
        </w:rPr>
      </w:pPr>
      <w:r w:rsidRPr="00A40A7E">
        <w:rPr>
          <w:rFonts w:eastAsia="Times New Roman" w:cs="Arial"/>
          <w:color w:val="2D2319"/>
          <w:shd w:val="clear" w:color="auto" w:fill="FFFFFF"/>
        </w:rPr>
        <w:t>2.1 million in 2000</w:t>
      </w:r>
    </w:p>
    <w:p w14:paraId="3DE90DC6" w14:textId="48C73526" w:rsidR="009451DC" w:rsidRPr="00A40A7E" w:rsidRDefault="009451DC" w:rsidP="009451DC">
      <w:pPr>
        <w:pStyle w:val="ListParagraph"/>
        <w:numPr>
          <w:ilvl w:val="0"/>
          <w:numId w:val="15"/>
        </w:numPr>
        <w:rPr>
          <w:rFonts w:eastAsia="Times New Roman" w:cs="Arial"/>
          <w:color w:val="2D2319"/>
          <w:shd w:val="clear" w:color="auto" w:fill="FFFFFF"/>
        </w:rPr>
      </w:pPr>
      <w:r w:rsidRPr="00A40A7E">
        <w:rPr>
          <w:rFonts w:eastAsia="Times New Roman" w:cs="Arial"/>
          <w:color w:val="2D2319"/>
          <w:shd w:val="clear" w:color="auto" w:fill="FFFFFF"/>
        </w:rPr>
        <w:t>5 million in 2015</w:t>
      </w:r>
    </w:p>
    <w:p w14:paraId="19B94912" w14:textId="3A39571D" w:rsidR="009451DC" w:rsidRPr="00CC0516" w:rsidRDefault="009451DC" w:rsidP="00CC0516">
      <w:pPr>
        <w:pStyle w:val="ListParagraph"/>
        <w:numPr>
          <w:ilvl w:val="0"/>
          <w:numId w:val="15"/>
        </w:numPr>
        <w:rPr>
          <w:rFonts w:eastAsia="Times New Roman" w:cs="Arial"/>
          <w:color w:val="2D2319"/>
          <w:shd w:val="clear" w:color="auto" w:fill="FFFFFF"/>
        </w:rPr>
      </w:pPr>
      <w:r w:rsidRPr="00A40A7E">
        <w:rPr>
          <w:rFonts w:eastAsia="Times New Roman" w:cs="Arial"/>
          <w:color w:val="2D2319"/>
          <w:shd w:val="clear" w:color="auto" w:fill="FFFFFF"/>
        </w:rPr>
        <w:t>8 million in 2025 (estimate)</w:t>
      </w:r>
    </w:p>
    <w:p w14:paraId="0B9C5FBF" w14:textId="63E33318" w:rsidR="003157C7" w:rsidRPr="003157C7" w:rsidRDefault="003157C7" w:rsidP="003157C7">
      <w:pPr>
        <w:rPr>
          <w:rFonts w:eastAsia="Times New Roman" w:cs="Times New Roman"/>
        </w:rPr>
      </w:pPr>
      <w:r w:rsidRPr="00A40A7E">
        <w:rPr>
          <w:rFonts w:eastAsia="Times New Roman" w:cs="Times New Roman"/>
        </w:rPr>
        <w:t xml:space="preserve">In </w:t>
      </w:r>
      <w:r w:rsidRPr="003157C7">
        <w:rPr>
          <w:rFonts w:eastAsia="Times New Roman" w:cs="Times New Roman"/>
        </w:rPr>
        <w:t xml:space="preserve">2015/16 </w:t>
      </w:r>
      <w:r w:rsidRPr="00A40A7E">
        <w:rPr>
          <w:rFonts w:eastAsia="Times New Roman" w:cs="Times New Roman"/>
        </w:rPr>
        <w:t xml:space="preserve">there were </w:t>
      </w:r>
      <w:r w:rsidRPr="003157C7">
        <w:rPr>
          <w:rFonts w:eastAsia="Times New Roman" w:cs="Times New Roman"/>
        </w:rPr>
        <w:t xml:space="preserve">1,043,839 </w:t>
      </w:r>
      <w:r w:rsidRPr="00A40A7E">
        <w:rPr>
          <w:rFonts w:eastAsia="Times New Roman" w:cs="Times New Roman"/>
        </w:rPr>
        <w:t>international students in the U.S.</w:t>
      </w:r>
      <w:r w:rsidR="00B3173D" w:rsidRPr="00A40A7E">
        <w:rPr>
          <w:rFonts w:eastAsia="Times New Roman" w:cs="Times New Roman"/>
        </w:rPr>
        <w:t xml:space="preserve"> (of which 29% were new students)</w:t>
      </w:r>
      <w:r w:rsidRPr="00A40A7E">
        <w:rPr>
          <w:rFonts w:eastAsia="Times New Roman" w:cs="Times New Roman"/>
        </w:rPr>
        <w:t xml:space="preserve">, </w:t>
      </w:r>
      <w:r w:rsidR="00B3173D" w:rsidRPr="00A40A7E">
        <w:rPr>
          <w:rFonts w:eastAsia="Times New Roman" w:cs="Times New Roman"/>
        </w:rPr>
        <w:t xml:space="preserve">with international enrollment </w:t>
      </w:r>
      <w:r w:rsidRPr="00A40A7E">
        <w:rPr>
          <w:rFonts w:eastAsia="Times New Roman" w:cs="Times New Roman"/>
        </w:rPr>
        <w:t>accounting for 5.2% of the total higher education enrollment (</w:t>
      </w:r>
      <w:r w:rsidRPr="003157C7">
        <w:rPr>
          <w:rFonts w:eastAsia="Times New Roman" w:cs="Times New Roman"/>
        </w:rPr>
        <w:t>20,264,000</w:t>
      </w:r>
      <w:r w:rsidRPr="00A40A7E">
        <w:rPr>
          <w:rFonts w:eastAsia="Times New Roman" w:cs="Times New Roman"/>
        </w:rPr>
        <w:t>) in the country.</w:t>
      </w:r>
      <w:r w:rsidR="00B3173D" w:rsidRPr="00A40A7E">
        <w:rPr>
          <w:rFonts w:eastAsia="Times New Roman" w:cs="Times New Roman"/>
        </w:rPr>
        <w:t xml:space="preserve"> </w:t>
      </w:r>
    </w:p>
    <w:p w14:paraId="72E71D5A" w14:textId="77777777" w:rsidR="00CC0516" w:rsidRDefault="00CC0516" w:rsidP="00F97DBC">
      <w:pPr>
        <w:rPr>
          <w:u w:val="single"/>
        </w:rPr>
      </w:pPr>
    </w:p>
    <w:p w14:paraId="5C4923F6" w14:textId="44CFCC8D" w:rsidR="00F97DBC" w:rsidRPr="00CC0516" w:rsidRDefault="00CC0516" w:rsidP="002D1472">
      <w:pPr>
        <w:pStyle w:val="ListParagraph"/>
        <w:numPr>
          <w:ilvl w:val="0"/>
          <w:numId w:val="18"/>
        </w:numPr>
      </w:pPr>
      <w:r w:rsidRPr="00CC0516">
        <w:t>1 in 3 International Students study in New York, California or Texas</w:t>
      </w:r>
    </w:p>
    <w:p w14:paraId="489004A1" w14:textId="77777777" w:rsidR="00BC7300" w:rsidRDefault="00BC7300" w:rsidP="00F97DBC">
      <w:pPr>
        <w:rPr>
          <w:b/>
        </w:rPr>
      </w:pPr>
    </w:p>
    <w:p w14:paraId="7353293F" w14:textId="76617BA6" w:rsidR="00CC0516" w:rsidRDefault="00CC0516" w:rsidP="00F97DBC">
      <w:pPr>
        <w:rPr>
          <w:b/>
        </w:rPr>
      </w:pPr>
      <w:r>
        <w:rPr>
          <w:b/>
        </w:rPr>
        <w:t>Fields of Study</w:t>
      </w:r>
      <w:r w:rsidR="00C23D92">
        <w:rPr>
          <w:b/>
        </w:rPr>
        <w:t>:</w:t>
      </w:r>
    </w:p>
    <w:p w14:paraId="2085A018" w14:textId="43A75BD4" w:rsidR="00CC0516" w:rsidRDefault="00CC0516" w:rsidP="005412C3">
      <w:pPr>
        <w:pStyle w:val="ListParagraph"/>
        <w:numPr>
          <w:ilvl w:val="0"/>
          <w:numId w:val="19"/>
        </w:numPr>
      </w:pPr>
      <w:r>
        <w:t>Engineering 2</w:t>
      </w:r>
      <w:r w:rsidRPr="00A40A7E">
        <w:t>0%</w:t>
      </w:r>
      <w:r w:rsidR="00805E16">
        <w:t xml:space="preserve"> of all international enrollment</w:t>
      </w:r>
    </w:p>
    <w:p w14:paraId="6BD6C5E2" w14:textId="77777777" w:rsidR="00CC0516" w:rsidRDefault="00CC0516" w:rsidP="005412C3">
      <w:pPr>
        <w:pStyle w:val="ListParagraph"/>
        <w:numPr>
          <w:ilvl w:val="0"/>
          <w:numId w:val="19"/>
        </w:numPr>
      </w:pPr>
      <w:r>
        <w:t xml:space="preserve">Business and Management 19%    </w:t>
      </w:r>
    </w:p>
    <w:p w14:paraId="0284EA6D" w14:textId="2669D1FB" w:rsidR="00CC0516" w:rsidRPr="00CC0516" w:rsidRDefault="00CC0516" w:rsidP="005412C3">
      <w:pPr>
        <w:pStyle w:val="ListParagraph"/>
        <w:numPr>
          <w:ilvl w:val="0"/>
          <w:numId w:val="19"/>
        </w:numPr>
      </w:pPr>
      <w:r>
        <w:t>Math &amp; Computer Science 14%</w:t>
      </w:r>
    </w:p>
    <w:p w14:paraId="4C30ADB6" w14:textId="77777777" w:rsidR="00CC0516" w:rsidRDefault="00CC0516" w:rsidP="00F97DBC">
      <w:pPr>
        <w:rPr>
          <w:b/>
        </w:rPr>
      </w:pPr>
    </w:p>
    <w:p w14:paraId="4859CC7C" w14:textId="4C434812" w:rsidR="00F97DBC" w:rsidRPr="00F97DBC" w:rsidRDefault="00F97DBC" w:rsidP="00F97DBC">
      <w:pPr>
        <w:rPr>
          <w:b/>
        </w:rPr>
      </w:pPr>
      <w:r w:rsidRPr="00F97DBC">
        <w:rPr>
          <w:b/>
        </w:rPr>
        <w:t xml:space="preserve">Major variations by field of study over the last year: </w:t>
      </w:r>
    </w:p>
    <w:p w14:paraId="38068D22" w14:textId="77777777" w:rsidR="00F97DBC" w:rsidRPr="00A40A7E" w:rsidRDefault="00F97DBC" w:rsidP="00900627">
      <w:pPr>
        <w:pStyle w:val="ListParagraph"/>
        <w:numPr>
          <w:ilvl w:val="0"/>
          <w:numId w:val="20"/>
        </w:numPr>
      </w:pPr>
      <w:r>
        <w:t>Math &amp; Computer Science +</w:t>
      </w:r>
      <w:r w:rsidRPr="00A40A7E">
        <w:t>25%</w:t>
      </w:r>
    </w:p>
    <w:p w14:paraId="6E613441" w14:textId="77777777" w:rsidR="00F97DBC" w:rsidRPr="00A40A7E" w:rsidRDefault="00F97DBC" w:rsidP="00900627">
      <w:pPr>
        <w:pStyle w:val="ListParagraph"/>
        <w:numPr>
          <w:ilvl w:val="0"/>
          <w:numId w:val="20"/>
        </w:numPr>
      </w:pPr>
      <w:r w:rsidRPr="00A40A7E">
        <w:t>Engineering +10%</w:t>
      </w:r>
    </w:p>
    <w:p w14:paraId="221E98D4" w14:textId="77777777" w:rsidR="00F97DBC" w:rsidRPr="00A40A7E" w:rsidRDefault="00F97DBC" w:rsidP="00900627">
      <w:pPr>
        <w:pStyle w:val="ListParagraph"/>
        <w:numPr>
          <w:ilvl w:val="0"/>
          <w:numId w:val="20"/>
        </w:numPr>
      </w:pPr>
      <w:r>
        <w:t>Education +</w:t>
      </w:r>
      <w:r w:rsidRPr="00A40A7E">
        <w:t>10%</w:t>
      </w:r>
    </w:p>
    <w:p w14:paraId="0AD9B032" w14:textId="77777777" w:rsidR="00F97DBC" w:rsidRPr="00A40A7E" w:rsidRDefault="00F97DBC" w:rsidP="00900627">
      <w:pPr>
        <w:pStyle w:val="ListParagraph"/>
        <w:numPr>
          <w:ilvl w:val="0"/>
          <w:numId w:val="20"/>
        </w:numPr>
      </w:pPr>
      <w:r>
        <w:t>Intensive English –17%</w:t>
      </w:r>
    </w:p>
    <w:p w14:paraId="580E7CA3" w14:textId="77777777" w:rsidR="00BC7300" w:rsidRPr="00A40A7E" w:rsidRDefault="00BC7300" w:rsidP="00C750A8">
      <w:pPr>
        <w:pStyle w:val="NormalWeb"/>
        <w:shd w:val="clear" w:color="auto" w:fill="FFFFFF"/>
        <w:spacing w:before="0" w:beforeAutospacing="0" w:after="0" w:afterAutospacing="0" w:line="300" w:lineRule="atLeast"/>
        <w:rPr>
          <w:rFonts w:asciiTheme="minorHAnsi" w:hAnsiTheme="minorHAnsi" w:cs="Arial"/>
          <w:color w:val="2D2319"/>
        </w:rPr>
      </w:pPr>
    </w:p>
    <w:p w14:paraId="549B3715" w14:textId="723DA31F" w:rsidR="00B3173D" w:rsidRPr="00BC7300" w:rsidRDefault="00B3173D" w:rsidP="00C750A8">
      <w:pPr>
        <w:pStyle w:val="NormalWeb"/>
        <w:shd w:val="clear" w:color="auto" w:fill="FFFFFF"/>
        <w:spacing w:before="0" w:beforeAutospacing="0" w:after="0" w:afterAutospacing="0" w:line="300" w:lineRule="atLeast"/>
        <w:rPr>
          <w:rFonts w:asciiTheme="minorHAnsi" w:hAnsiTheme="minorHAnsi" w:cs="Arial"/>
          <w:b/>
          <w:color w:val="000000" w:themeColor="text1"/>
        </w:rPr>
      </w:pPr>
      <w:r w:rsidRPr="00BC7300">
        <w:rPr>
          <w:rFonts w:asciiTheme="minorHAnsi" w:hAnsiTheme="minorHAnsi" w:cs="Arial"/>
          <w:b/>
          <w:color w:val="000000" w:themeColor="text1"/>
        </w:rPr>
        <w:t>Funding</w:t>
      </w:r>
      <w:r w:rsidR="00F97DBC" w:rsidRPr="00BC7300">
        <w:rPr>
          <w:rFonts w:asciiTheme="minorHAnsi" w:hAnsiTheme="minorHAnsi" w:cs="Arial"/>
          <w:b/>
          <w:color w:val="000000" w:themeColor="text1"/>
        </w:rPr>
        <w:t xml:space="preserve"> Sources</w:t>
      </w:r>
      <w:r w:rsidR="00CB4E1A" w:rsidRPr="00BC7300">
        <w:rPr>
          <w:rFonts w:asciiTheme="minorHAnsi" w:hAnsiTheme="minorHAnsi" w:cs="Arial"/>
          <w:b/>
          <w:color w:val="000000" w:themeColor="text1"/>
        </w:rPr>
        <w:t xml:space="preserve"> of International Students</w:t>
      </w:r>
      <w:r w:rsidRPr="00BC7300">
        <w:rPr>
          <w:rFonts w:asciiTheme="minorHAnsi" w:hAnsiTheme="minorHAnsi" w:cs="Arial"/>
          <w:b/>
          <w:color w:val="000000" w:themeColor="text1"/>
        </w:rPr>
        <w:t xml:space="preserve">: </w:t>
      </w:r>
    </w:p>
    <w:p w14:paraId="1008E02E" w14:textId="067AB55A" w:rsidR="00F97DBC" w:rsidRDefault="00B3173D" w:rsidP="00F97DBC">
      <w:pPr>
        <w:pStyle w:val="NormalWeb"/>
        <w:numPr>
          <w:ilvl w:val="0"/>
          <w:numId w:val="15"/>
        </w:numPr>
        <w:shd w:val="clear" w:color="auto" w:fill="FFFFFF"/>
        <w:spacing w:before="0" w:beforeAutospacing="0" w:after="0" w:afterAutospacing="0" w:line="300" w:lineRule="atLeast"/>
        <w:rPr>
          <w:rFonts w:asciiTheme="minorHAnsi" w:hAnsiTheme="minorHAnsi" w:cs="Arial"/>
          <w:color w:val="2D2319"/>
        </w:rPr>
      </w:pPr>
      <w:r w:rsidRPr="00A40A7E">
        <w:rPr>
          <w:rFonts w:asciiTheme="minorHAnsi" w:hAnsiTheme="minorHAnsi" w:cs="Arial"/>
          <w:color w:val="2D2319"/>
        </w:rPr>
        <w:t xml:space="preserve">66% </w:t>
      </w:r>
      <w:r w:rsidR="00805E16">
        <w:rPr>
          <w:rFonts w:asciiTheme="minorHAnsi" w:hAnsiTheme="minorHAnsi" w:cs="Arial"/>
          <w:color w:val="2D2319"/>
        </w:rPr>
        <w:t xml:space="preserve">are funded by </w:t>
      </w:r>
      <w:r w:rsidR="00F97DBC">
        <w:rPr>
          <w:rFonts w:asciiTheme="minorHAnsi" w:hAnsiTheme="minorHAnsi" w:cs="Arial"/>
          <w:color w:val="2D2319"/>
        </w:rPr>
        <w:t>personal/family funds</w:t>
      </w:r>
      <w:r w:rsidR="00805E16">
        <w:rPr>
          <w:rFonts w:asciiTheme="minorHAnsi" w:hAnsiTheme="minorHAnsi" w:cs="Arial"/>
          <w:color w:val="2D2319"/>
        </w:rPr>
        <w:t xml:space="preserve"> </w:t>
      </w:r>
    </w:p>
    <w:p w14:paraId="1CD82999" w14:textId="71E8048E" w:rsidR="00F97DBC" w:rsidRDefault="00B3173D" w:rsidP="00F97DBC">
      <w:pPr>
        <w:pStyle w:val="NormalWeb"/>
        <w:numPr>
          <w:ilvl w:val="0"/>
          <w:numId w:val="15"/>
        </w:numPr>
        <w:shd w:val="clear" w:color="auto" w:fill="FFFFFF"/>
        <w:spacing w:before="0" w:beforeAutospacing="0" w:after="0" w:afterAutospacing="0" w:line="300" w:lineRule="atLeast"/>
        <w:rPr>
          <w:rFonts w:asciiTheme="minorHAnsi" w:hAnsiTheme="minorHAnsi" w:cs="Arial"/>
          <w:color w:val="2D2319"/>
        </w:rPr>
      </w:pPr>
      <w:r w:rsidRPr="00A40A7E">
        <w:rPr>
          <w:rFonts w:asciiTheme="minorHAnsi" w:hAnsiTheme="minorHAnsi" w:cs="Arial"/>
          <w:color w:val="2D2319"/>
        </w:rPr>
        <w:t xml:space="preserve">17% are funded by their U.S. </w:t>
      </w:r>
      <w:r w:rsidR="00F97DBC">
        <w:rPr>
          <w:rFonts w:asciiTheme="minorHAnsi" w:hAnsiTheme="minorHAnsi" w:cs="Arial"/>
          <w:color w:val="2D2319"/>
        </w:rPr>
        <w:t>host universities</w:t>
      </w:r>
    </w:p>
    <w:p w14:paraId="179CC305" w14:textId="3D23E2A8" w:rsidR="00EB01D7" w:rsidRDefault="00B3173D" w:rsidP="001553A1">
      <w:pPr>
        <w:pStyle w:val="NormalWeb"/>
        <w:numPr>
          <w:ilvl w:val="0"/>
          <w:numId w:val="15"/>
        </w:numPr>
        <w:shd w:val="clear" w:color="auto" w:fill="FFFFFF"/>
        <w:spacing w:before="0" w:beforeAutospacing="0" w:after="0" w:afterAutospacing="0" w:line="300" w:lineRule="atLeast"/>
        <w:rPr>
          <w:rFonts w:asciiTheme="minorHAnsi" w:hAnsiTheme="minorHAnsi" w:cs="Arial"/>
          <w:color w:val="2D2319"/>
        </w:rPr>
      </w:pPr>
      <w:r w:rsidRPr="00F97DBC">
        <w:rPr>
          <w:rFonts w:asciiTheme="minorHAnsi" w:hAnsiTheme="minorHAnsi" w:cs="Arial"/>
          <w:color w:val="2D2319"/>
        </w:rPr>
        <w:t>7% are funded by foreign governments and universities</w:t>
      </w:r>
    </w:p>
    <w:p w14:paraId="5BD231F1" w14:textId="77777777" w:rsidR="00BC7300" w:rsidRPr="00F97DBC" w:rsidRDefault="00BC7300" w:rsidP="00BC7300">
      <w:pPr>
        <w:pStyle w:val="NormalWeb"/>
        <w:shd w:val="clear" w:color="auto" w:fill="FFFFFF"/>
        <w:spacing w:before="0" w:beforeAutospacing="0" w:after="0" w:afterAutospacing="0" w:line="300" w:lineRule="atLeast"/>
        <w:rPr>
          <w:rFonts w:asciiTheme="minorHAnsi" w:hAnsiTheme="minorHAnsi" w:cs="Arial"/>
          <w:color w:val="2D2319"/>
        </w:rPr>
      </w:pPr>
    </w:p>
    <w:p w14:paraId="5B46A681" w14:textId="77777777" w:rsidR="00CB4E1A" w:rsidRPr="00BC7300" w:rsidRDefault="00CB1426" w:rsidP="00CB4E1A">
      <w:pPr>
        <w:pStyle w:val="NormalWeb"/>
        <w:shd w:val="clear" w:color="auto" w:fill="FFFFFF"/>
        <w:spacing w:before="0" w:beforeAutospacing="0" w:after="0" w:afterAutospacing="0" w:line="300" w:lineRule="atLeast"/>
        <w:rPr>
          <w:rFonts w:asciiTheme="minorHAnsi" w:hAnsiTheme="minorHAnsi" w:cs="Arial"/>
          <w:b/>
          <w:color w:val="000000" w:themeColor="text1"/>
        </w:rPr>
      </w:pPr>
      <w:r w:rsidRPr="00BC7300">
        <w:rPr>
          <w:rFonts w:asciiTheme="minorHAnsi" w:hAnsiTheme="minorHAnsi" w:cs="Arial"/>
          <w:b/>
          <w:color w:val="000000" w:themeColor="text1"/>
        </w:rPr>
        <w:t>Recruitment Costs per Student:</w:t>
      </w:r>
    </w:p>
    <w:p w14:paraId="62DE5595" w14:textId="603E5B2E" w:rsidR="007176EE" w:rsidRDefault="007176EE" w:rsidP="007176EE">
      <w:pPr>
        <w:rPr>
          <w:color w:val="000000" w:themeColor="text1"/>
        </w:rPr>
      </w:pPr>
      <w:r w:rsidRPr="00A40A7E">
        <w:rPr>
          <w:color w:val="000000" w:themeColor="text1"/>
        </w:rPr>
        <w:t xml:space="preserve">The </w:t>
      </w:r>
      <w:r w:rsidRPr="00F97DBC">
        <w:rPr>
          <w:b/>
          <w:color w:val="000000" w:themeColor="text1"/>
        </w:rPr>
        <w:t xml:space="preserve">cost of recruiting </w:t>
      </w:r>
      <w:r>
        <w:rPr>
          <w:b/>
          <w:color w:val="000000" w:themeColor="text1"/>
        </w:rPr>
        <w:t>a</w:t>
      </w:r>
      <w:r w:rsidRPr="00F97DBC">
        <w:rPr>
          <w:b/>
          <w:color w:val="000000" w:themeColor="text1"/>
        </w:rPr>
        <w:t xml:space="preserve"> new </w:t>
      </w:r>
      <w:r w:rsidRPr="00F97DBC">
        <w:rPr>
          <w:b/>
          <w:color w:val="000000" w:themeColor="text1"/>
          <w:u w:val="single"/>
        </w:rPr>
        <w:t>international student</w:t>
      </w:r>
      <w:r w:rsidRPr="00F97DBC">
        <w:rPr>
          <w:b/>
          <w:color w:val="000000" w:themeColor="text1"/>
        </w:rPr>
        <w:t xml:space="preserve"> at UM </w:t>
      </w:r>
      <w:r w:rsidR="00805E16">
        <w:rPr>
          <w:b/>
          <w:color w:val="000000" w:themeColor="text1"/>
        </w:rPr>
        <w:t>(</w:t>
      </w:r>
      <w:r w:rsidR="00800F16">
        <w:rPr>
          <w:b/>
          <w:color w:val="000000" w:themeColor="text1"/>
        </w:rPr>
        <w:t xml:space="preserve">FY16) </w:t>
      </w:r>
      <w:r w:rsidRPr="00F97DBC">
        <w:rPr>
          <w:b/>
          <w:color w:val="000000" w:themeColor="text1"/>
        </w:rPr>
        <w:t>was $840</w:t>
      </w:r>
      <w:r w:rsidRPr="00A40A7E">
        <w:rPr>
          <w:rStyle w:val="FootnoteReference"/>
          <w:color w:val="000000" w:themeColor="text1"/>
        </w:rPr>
        <w:footnoteReference w:id="1"/>
      </w:r>
      <w:r w:rsidRPr="00A40A7E">
        <w:rPr>
          <w:color w:val="000000" w:themeColor="text1"/>
        </w:rPr>
        <w:t xml:space="preserve">. </w:t>
      </w:r>
    </w:p>
    <w:p w14:paraId="4D741148" w14:textId="77777777" w:rsidR="00F03057" w:rsidRDefault="00F03057" w:rsidP="007176EE">
      <w:pPr>
        <w:rPr>
          <w:color w:val="000000" w:themeColor="text1"/>
        </w:rPr>
      </w:pPr>
    </w:p>
    <w:p w14:paraId="64C75A6A" w14:textId="1C839FDE" w:rsidR="007176EE" w:rsidRDefault="007176EE" w:rsidP="007176EE">
      <w:pPr>
        <w:rPr>
          <w:rFonts w:eastAsia="Times New Roman" w:cs="Times New Roman"/>
          <w:bCs/>
          <w:color w:val="000000" w:themeColor="text1"/>
          <w:shd w:val="clear" w:color="auto" w:fill="FFFFFF"/>
        </w:rPr>
      </w:pPr>
      <w:r>
        <w:rPr>
          <w:color w:val="000000" w:themeColor="text1"/>
        </w:rPr>
        <w:t>C</w:t>
      </w:r>
      <w:r w:rsidRPr="00A40A7E">
        <w:rPr>
          <w:color w:val="000000" w:themeColor="text1"/>
        </w:rPr>
        <w:t xml:space="preserve">ost of international recruitment per student </w:t>
      </w:r>
      <w:r>
        <w:rPr>
          <w:color w:val="000000" w:themeColor="text1"/>
        </w:rPr>
        <w:t xml:space="preserve">in </w:t>
      </w:r>
      <w:r w:rsidRPr="00A40A7E">
        <w:rPr>
          <w:color w:val="000000" w:themeColor="text1"/>
        </w:rPr>
        <w:t>Australia</w:t>
      </w:r>
      <w:r>
        <w:rPr>
          <w:color w:val="000000" w:themeColor="text1"/>
        </w:rPr>
        <w:t xml:space="preserve"> (2012) =</w:t>
      </w:r>
      <w:r w:rsidRPr="00A40A7E">
        <w:rPr>
          <w:rFonts w:eastAsia="Times New Roman" w:cs="Times New Roman"/>
          <w:bCs/>
          <w:color w:val="000000" w:themeColor="text1"/>
          <w:shd w:val="clear" w:color="auto" w:fill="FFFFFF"/>
        </w:rPr>
        <w:t xml:space="preserve"> $4,600</w:t>
      </w:r>
      <w:r>
        <w:rPr>
          <w:rFonts w:eastAsia="Times New Roman" w:cs="Times New Roman"/>
          <w:bCs/>
          <w:color w:val="000000" w:themeColor="text1"/>
          <w:shd w:val="clear" w:color="auto" w:fill="FFFFFF"/>
        </w:rPr>
        <w:t>.</w:t>
      </w:r>
    </w:p>
    <w:p w14:paraId="78C7CED2" w14:textId="77777777" w:rsidR="00F03057" w:rsidRDefault="00F03057">
      <w:pPr>
        <w:rPr>
          <w:rFonts w:eastAsia="Times New Roman" w:cs="Times New Roman"/>
          <w:bCs/>
          <w:color w:val="000000" w:themeColor="text1"/>
          <w:shd w:val="clear" w:color="auto" w:fill="FFFFFF"/>
        </w:rPr>
      </w:pPr>
    </w:p>
    <w:p w14:paraId="321CD747" w14:textId="0489BE4B" w:rsidR="00F03057" w:rsidRDefault="007176EE">
      <w:pPr>
        <w:rPr>
          <w:rFonts w:eastAsia="Times New Roman" w:cs="Times New Roman"/>
          <w:bCs/>
          <w:color w:val="000000" w:themeColor="text1"/>
          <w:shd w:val="clear" w:color="auto" w:fill="FFFFFF"/>
        </w:rPr>
      </w:pPr>
      <w:r>
        <w:rPr>
          <w:rFonts w:eastAsia="Times New Roman" w:cs="Times New Roman"/>
          <w:bCs/>
          <w:color w:val="000000" w:themeColor="text1"/>
          <w:shd w:val="clear" w:color="auto" w:fill="FFFFFF"/>
        </w:rPr>
        <w:t>Median cost of recruiting a student (</w:t>
      </w:r>
      <w:proofErr w:type="spellStart"/>
      <w:r>
        <w:rPr>
          <w:rFonts w:eastAsia="Times New Roman" w:cs="Times New Roman"/>
          <w:bCs/>
          <w:color w:val="000000" w:themeColor="text1"/>
          <w:shd w:val="clear" w:color="auto" w:fill="FFFFFF"/>
        </w:rPr>
        <w:t>domestic+international</w:t>
      </w:r>
      <w:proofErr w:type="spellEnd"/>
      <w:r>
        <w:rPr>
          <w:rFonts w:eastAsia="Times New Roman" w:cs="Times New Roman"/>
          <w:bCs/>
          <w:color w:val="000000" w:themeColor="text1"/>
          <w:shd w:val="clear" w:color="auto" w:fill="FFFFFF"/>
        </w:rPr>
        <w:t>)</w:t>
      </w:r>
      <w:r w:rsidR="00F03057">
        <w:rPr>
          <w:rFonts w:eastAsia="Times New Roman" w:cs="Times New Roman"/>
          <w:bCs/>
          <w:color w:val="000000" w:themeColor="text1"/>
          <w:shd w:val="clear" w:color="auto" w:fill="FFFFFF"/>
        </w:rPr>
        <w:t>:</w:t>
      </w:r>
      <w:r>
        <w:rPr>
          <w:rFonts w:eastAsia="Times New Roman" w:cs="Times New Roman"/>
          <w:bCs/>
          <w:color w:val="000000" w:themeColor="text1"/>
          <w:shd w:val="clear" w:color="auto" w:fill="FFFFFF"/>
        </w:rPr>
        <w:t xml:space="preserve"> </w:t>
      </w:r>
    </w:p>
    <w:p w14:paraId="7922ECF9" w14:textId="19499376" w:rsidR="00F03057" w:rsidRPr="00F03057" w:rsidRDefault="007176EE" w:rsidP="00F03057">
      <w:pPr>
        <w:pStyle w:val="ListParagraph"/>
        <w:numPr>
          <w:ilvl w:val="0"/>
          <w:numId w:val="15"/>
        </w:numPr>
        <w:rPr>
          <w:rFonts w:eastAsia="Times New Roman" w:cs="Times New Roman"/>
          <w:bCs/>
          <w:color w:val="000000" w:themeColor="text1"/>
          <w:shd w:val="clear" w:color="auto" w:fill="FFFFFF"/>
        </w:rPr>
      </w:pPr>
      <w:r w:rsidRPr="00F03057">
        <w:rPr>
          <w:rFonts w:eastAsia="Times New Roman" w:cs="Times New Roman"/>
          <w:bCs/>
          <w:color w:val="000000" w:themeColor="text1"/>
          <w:shd w:val="clear" w:color="auto" w:fill="FFFFFF"/>
        </w:rPr>
        <w:t xml:space="preserve">in 4-year public institutions = </w:t>
      </w:r>
      <w:r w:rsidR="00DC1987">
        <w:rPr>
          <w:rFonts w:eastAsia="Times New Roman" w:cs="Times New Roman"/>
          <w:bCs/>
          <w:color w:val="000000" w:themeColor="text1"/>
          <w:shd w:val="clear" w:color="auto" w:fill="FFFFFF"/>
        </w:rPr>
        <w:t xml:space="preserve">  </w:t>
      </w:r>
      <w:r w:rsidRPr="00F03057">
        <w:rPr>
          <w:rFonts w:eastAsia="Times New Roman" w:cs="Times New Roman"/>
          <w:bCs/>
          <w:color w:val="000000" w:themeColor="text1"/>
          <w:shd w:val="clear" w:color="auto" w:fill="FFFFFF"/>
        </w:rPr>
        <w:t>$578</w:t>
      </w:r>
    </w:p>
    <w:p w14:paraId="47A183CE" w14:textId="36AACBF7" w:rsidR="00F97DBC" w:rsidRPr="00F03057" w:rsidRDefault="00DC1987" w:rsidP="00F03057">
      <w:pPr>
        <w:pStyle w:val="ListParagraph"/>
        <w:numPr>
          <w:ilvl w:val="0"/>
          <w:numId w:val="15"/>
        </w:numPr>
        <w:rPr>
          <w:rFonts w:eastAsia="Times New Roman" w:cs="Times New Roman"/>
          <w:bCs/>
          <w:color w:val="000000" w:themeColor="text1"/>
          <w:shd w:val="clear" w:color="auto" w:fill="FFFFFF"/>
        </w:rPr>
      </w:pPr>
      <w:r>
        <w:rPr>
          <w:rFonts w:eastAsia="Times New Roman" w:cs="Times New Roman"/>
          <w:bCs/>
          <w:color w:val="000000" w:themeColor="text1"/>
          <w:shd w:val="clear" w:color="auto" w:fill="FFFFFF"/>
        </w:rPr>
        <w:t xml:space="preserve">in </w:t>
      </w:r>
      <w:r w:rsidR="007176EE" w:rsidRPr="00F03057">
        <w:rPr>
          <w:rFonts w:eastAsia="Times New Roman" w:cs="Times New Roman"/>
          <w:bCs/>
          <w:color w:val="000000" w:themeColor="text1"/>
          <w:shd w:val="clear" w:color="auto" w:fill="FFFFFF"/>
        </w:rPr>
        <w:t>4-year private institution</w:t>
      </w:r>
      <w:r>
        <w:rPr>
          <w:rFonts w:eastAsia="Times New Roman" w:cs="Times New Roman"/>
          <w:bCs/>
          <w:color w:val="000000" w:themeColor="text1"/>
          <w:shd w:val="clear" w:color="auto" w:fill="FFFFFF"/>
        </w:rPr>
        <w:t>s</w:t>
      </w:r>
      <w:r w:rsidR="007176EE" w:rsidRPr="00F03057">
        <w:rPr>
          <w:rFonts w:eastAsia="Times New Roman" w:cs="Times New Roman"/>
          <w:bCs/>
          <w:color w:val="000000" w:themeColor="text1"/>
          <w:shd w:val="clear" w:color="auto" w:fill="FFFFFF"/>
        </w:rPr>
        <w:t xml:space="preserve"> = $2,232</w:t>
      </w:r>
      <w:r w:rsidR="00F97DBC" w:rsidRPr="00F03057">
        <w:rPr>
          <w:color w:val="000000" w:themeColor="text1"/>
        </w:rPr>
        <w:br w:type="page"/>
      </w:r>
    </w:p>
    <w:p w14:paraId="78660631" w14:textId="1380CFC5" w:rsidR="00384E94" w:rsidRPr="002D5317" w:rsidRDefault="00384E94" w:rsidP="00BC7300">
      <w:pPr>
        <w:pBdr>
          <w:bottom w:val="single" w:sz="4" w:space="1" w:color="auto"/>
        </w:pBdr>
        <w:rPr>
          <w:b/>
          <w:color w:val="000000" w:themeColor="text1"/>
        </w:rPr>
      </w:pPr>
      <w:r w:rsidRPr="002D5317">
        <w:rPr>
          <w:b/>
          <w:color w:val="000000" w:themeColor="text1"/>
        </w:rPr>
        <w:lastRenderedPageBreak/>
        <w:t>International Enrollment in the Region (similar institutions)</w:t>
      </w:r>
    </w:p>
    <w:p w14:paraId="2758C4C0" w14:textId="77777777" w:rsidR="00384E94" w:rsidRDefault="00384E94" w:rsidP="00BC0F53">
      <w:pPr>
        <w:rPr>
          <w:color w:val="000000" w:themeColor="text1"/>
        </w:rPr>
      </w:pPr>
    </w:p>
    <w:tbl>
      <w:tblPr>
        <w:tblStyle w:val="TableGrid"/>
        <w:tblW w:w="0" w:type="auto"/>
        <w:tblLook w:val="04A0" w:firstRow="1" w:lastRow="0" w:firstColumn="1" w:lastColumn="0" w:noHBand="0" w:noVBand="1"/>
      </w:tblPr>
      <w:tblGrid>
        <w:gridCol w:w="1246"/>
        <w:gridCol w:w="1418"/>
        <w:gridCol w:w="1033"/>
        <w:gridCol w:w="1430"/>
        <w:gridCol w:w="1312"/>
        <w:gridCol w:w="784"/>
        <w:gridCol w:w="1368"/>
      </w:tblGrid>
      <w:tr w:rsidR="00DC1987" w:rsidRPr="0099302F" w14:paraId="22B7DE7C" w14:textId="77777777" w:rsidTr="0099302F">
        <w:tc>
          <w:tcPr>
            <w:tcW w:w="1246" w:type="dxa"/>
            <w:vAlign w:val="bottom"/>
          </w:tcPr>
          <w:p w14:paraId="0FBDD027" w14:textId="77777777" w:rsidR="00B6368B" w:rsidRPr="0099302F" w:rsidRDefault="00B6368B" w:rsidP="0099302F">
            <w:pPr>
              <w:jc w:val="center"/>
              <w:rPr>
                <w:b/>
                <w:color w:val="000000" w:themeColor="text1"/>
                <w:sz w:val="21"/>
              </w:rPr>
            </w:pPr>
            <w:r w:rsidRPr="0099302F">
              <w:rPr>
                <w:b/>
                <w:color w:val="000000" w:themeColor="text1"/>
                <w:sz w:val="21"/>
              </w:rPr>
              <w:t>University</w:t>
            </w:r>
          </w:p>
          <w:p w14:paraId="7FD3EC89" w14:textId="02DEFC3D" w:rsidR="0099302F" w:rsidRPr="0099302F" w:rsidRDefault="0099302F" w:rsidP="0099302F">
            <w:pPr>
              <w:jc w:val="center"/>
              <w:rPr>
                <w:b/>
                <w:color w:val="000000" w:themeColor="text1"/>
                <w:sz w:val="21"/>
              </w:rPr>
            </w:pPr>
          </w:p>
        </w:tc>
        <w:tc>
          <w:tcPr>
            <w:tcW w:w="1418" w:type="dxa"/>
            <w:vAlign w:val="bottom"/>
          </w:tcPr>
          <w:p w14:paraId="148F499F" w14:textId="580806FE" w:rsidR="0099302F" w:rsidRDefault="0099302F" w:rsidP="0099302F">
            <w:pPr>
              <w:jc w:val="center"/>
              <w:rPr>
                <w:b/>
                <w:color w:val="000000" w:themeColor="text1"/>
                <w:sz w:val="21"/>
              </w:rPr>
            </w:pPr>
            <w:r>
              <w:rPr>
                <w:b/>
                <w:color w:val="000000" w:themeColor="text1"/>
                <w:sz w:val="21"/>
              </w:rPr>
              <w:t>(*)</w:t>
            </w:r>
          </w:p>
          <w:p w14:paraId="3F7F64AF" w14:textId="77777777" w:rsidR="00B6368B" w:rsidRPr="0099302F" w:rsidRDefault="00B6368B" w:rsidP="0099302F">
            <w:pPr>
              <w:jc w:val="center"/>
              <w:rPr>
                <w:b/>
                <w:color w:val="000000" w:themeColor="text1"/>
                <w:sz w:val="21"/>
              </w:rPr>
            </w:pPr>
            <w:r w:rsidRPr="0099302F">
              <w:rPr>
                <w:b/>
                <w:color w:val="000000" w:themeColor="text1"/>
                <w:sz w:val="21"/>
              </w:rPr>
              <w:t>Engineering</w:t>
            </w:r>
          </w:p>
          <w:p w14:paraId="00263E95" w14:textId="4AE00054" w:rsidR="00B6368B" w:rsidRPr="0099302F" w:rsidRDefault="00B6368B" w:rsidP="0099302F">
            <w:pPr>
              <w:jc w:val="center"/>
              <w:rPr>
                <w:b/>
                <w:color w:val="000000" w:themeColor="text1"/>
                <w:sz w:val="21"/>
              </w:rPr>
            </w:pPr>
            <w:r w:rsidRPr="0099302F">
              <w:rPr>
                <w:b/>
                <w:color w:val="000000" w:themeColor="text1"/>
                <w:sz w:val="21"/>
              </w:rPr>
              <w:t>(Y/N)</w:t>
            </w:r>
          </w:p>
        </w:tc>
        <w:tc>
          <w:tcPr>
            <w:tcW w:w="1033" w:type="dxa"/>
            <w:vAlign w:val="bottom"/>
          </w:tcPr>
          <w:p w14:paraId="0E7960EC" w14:textId="062D2EFF" w:rsidR="00B6368B" w:rsidRPr="0099302F" w:rsidRDefault="00B6368B" w:rsidP="00DC1987">
            <w:pPr>
              <w:jc w:val="center"/>
              <w:rPr>
                <w:b/>
                <w:color w:val="000000" w:themeColor="text1"/>
                <w:sz w:val="21"/>
              </w:rPr>
            </w:pPr>
            <w:r w:rsidRPr="0099302F">
              <w:rPr>
                <w:b/>
                <w:color w:val="000000" w:themeColor="text1"/>
                <w:sz w:val="21"/>
              </w:rPr>
              <w:t>Ranking</w:t>
            </w:r>
          </w:p>
          <w:p w14:paraId="563B8284" w14:textId="395CBDD9" w:rsidR="00B6368B" w:rsidRPr="0099302F" w:rsidRDefault="00B6368B" w:rsidP="0099302F">
            <w:pPr>
              <w:jc w:val="center"/>
              <w:rPr>
                <w:b/>
                <w:color w:val="000000" w:themeColor="text1"/>
                <w:sz w:val="21"/>
              </w:rPr>
            </w:pPr>
            <w:r w:rsidRPr="0099302F">
              <w:rPr>
                <w:b/>
                <w:color w:val="000000" w:themeColor="text1"/>
                <w:sz w:val="21"/>
              </w:rPr>
              <w:t>US News</w:t>
            </w:r>
          </w:p>
        </w:tc>
        <w:tc>
          <w:tcPr>
            <w:tcW w:w="1232" w:type="dxa"/>
            <w:vAlign w:val="bottom"/>
          </w:tcPr>
          <w:p w14:paraId="440AD81F" w14:textId="6EDD809F" w:rsidR="00B6368B" w:rsidRPr="0099302F" w:rsidRDefault="00B6368B" w:rsidP="0099302F">
            <w:pPr>
              <w:jc w:val="center"/>
              <w:rPr>
                <w:b/>
                <w:color w:val="000000" w:themeColor="text1"/>
                <w:sz w:val="21"/>
              </w:rPr>
            </w:pPr>
            <w:proofErr w:type="spellStart"/>
            <w:r w:rsidRPr="0099302F">
              <w:rPr>
                <w:b/>
                <w:color w:val="000000" w:themeColor="text1"/>
                <w:sz w:val="21"/>
              </w:rPr>
              <w:t>In</w:t>
            </w:r>
            <w:r w:rsidR="0099302F" w:rsidRPr="0099302F">
              <w:rPr>
                <w:b/>
                <w:color w:val="000000" w:themeColor="text1"/>
                <w:sz w:val="21"/>
              </w:rPr>
              <w:t>ernational</w:t>
            </w:r>
            <w:proofErr w:type="spellEnd"/>
            <w:r w:rsidRPr="0099302F">
              <w:rPr>
                <w:b/>
                <w:color w:val="000000" w:themeColor="text1"/>
                <w:sz w:val="21"/>
              </w:rPr>
              <w:t xml:space="preserve"> Enrollment</w:t>
            </w:r>
          </w:p>
        </w:tc>
        <w:tc>
          <w:tcPr>
            <w:tcW w:w="1232" w:type="dxa"/>
            <w:vAlign w:val="bottom"/>
          </w:tcPr>
          <w:p w14:paraId="6F120123" w14:textId="79E3FF2D" w:rsidR="00B6368B" w:rsidRPr="0099302F" w:rsidRDefault="00B6368B" w:rsidP="0099302F">
            <w:pPr>
              <w:jc w:val="center"/>
              <w:rPr>
                <w:b/>
                <w:color w:val="000000" w:themeColor="text1"/>
                <w:sz w:val="21"/>
              </w:rPr>
            </w:pPr>
            <w:r w:rsidRPr="0099302F">
              <w:rPr>
                <w:b/>
                <w:color w:val="000000" w:themeColor="text1"/>
                <w:sz w:val="21"/>
              </w:rPr>
              <w:t>Total Enrollment</w:t>
            </w:r>
          </w:p>
        </w:tc>
        <w:tc>
          <w:tcPr>
            <w:tcW w:w="784" w:type="dxa"/>
            <w:vAlign w:val="bottom"/>
          </w:tcPr>
          <w:p w14:paraId="608FBA65" w14:textId="77777777" w:rsidR="00B6368B" w:rsidRPr="0099302F" w:rsidRDefault="00B6368B" w:rsidP="0099302F">
            <w:pPr>
              <w:jc w:val="center"/>
              <w:rPr>
                <w:b/>
                <w:color w:val="000000" w:themeColor="text1"/>
                <w:sz w:val="21"/>
              </w:rPr>
            </w:pPr>
            <w:r w:rsidRPr="0099302F">
              <w:rPr>
                <w:b/>
                <w:color w:val="000000" w:themeColor="text1"/>
                <w:sz w:val="21"/>
              </w:rPr>
              <w:t>% Int’l</w:t>
            </w:r>
          </w:p>
          <w:p w14:paraId="20C2A0CA" w14:textId="4EF5C80B" w:rsidR="00B6368B" w:rsidRPr="0099302F" w:rsidRDefault="00B6368B" w:rsidP="0099302F">
            <w:pPr>
              <w:jc w:val="center"/>
              <w:rPr>
                <w:b/>
                <w:color w:val="000000" w:themeColor="text1"/>
                <w:sz w:val="21"/>
              </w:rPr>
            </w:pPr>
            <w:proofErr w:type="spellStart"/>
            <w:r w:rsidRPr="0099302F">
              <w:rPr>
                <w:b/>
                <w:color w:val="000000" w:themeColor="text1"/>
                <w:sz w:val="21"/>
              </w:rPr>
              <w:t>Stds</w:t>
            </w:r>
            <w:proofErr w:type="spellEnd"/>
          </w:p>
        </w:tc>
        <w:tc>
          <w:tcPr>
            <w:tcW w:w="1368" w:type="dxa"/>
            <w:tcBorders>
              <w:bottom w:val="single" w:sz="4" w:space="0" w:color="auto"/>
            </w:tcBorders>
          </w:tcPr>
          <w:p w14:paraId="659F2FA3" w14:textId="39D38E91" w:rsidR="00B6368B" w:rsidRPr="0099302F" w:rsidRDefault="006051C8" w:rsidP="006051C8">
            <w:pPr>
              <w:rPr>
                <w:b/>
                <w:color w:val="000000" w:themeColor="text1"/>
                <w:sz w:val="21"/>
              </w:rPr>
            </w:pPr>
            <w:r w:rsidRPr="0099302F">
              <w:rPr>
                <w:b/>
                <w:color w:val="000000" w:themeColor="text1"/>
                <w:sz w:val="21"/>
              </w:rPr>
              <w:t xml:space="preserve">Total Int’l Enrollment </w:t>
            </w:r>
            <w:r w:rsidR="0099302F" w:rsidRPr="0099302F">
              <w:rPr>
                <w:b/>
                <w:color w:val="000000" w:themeColor="text1"/>
                <w:sz w:val="21"/>
              </w:rPr>
              <w:t xml:space="preserve">and Revenue by </w:t>
            </w:r>
            <w:r w:rsidRPr="0099302F">
              <w:rPr>
                <w:b/>
                <w:color w:val="000000" w:themeColor="text1"/>
                <w:sz w:val="21"/>
              </w:rPr>
              <w:t>State</w:t>
            </w:r>
          </w:p>
        </w:tc>
      </w:tr>
      <w:tr w:rsidR="00DC1987" w:rsidRPr="00B6368B" w14:paraId="58E8B627" w14:textId="77777777" w:rsidTr="0099302F">
        <w:tc>
          <w:tcPr>
            <w:tcW w:w="1246" w:type="dxa"/>
          </w:tcPr>
          <w:p w14:paraId="1433BE50" w14:textId="5CDB1524" w:rsidR="006051C8" w:rsidRPr="00B6368B" w:rsidRDefault="006051C8" w:rsidP="00BC0F53">
            <w:pPr>
              <w:rPr>
                <w:color w:val="000000" w:themeColor="text1"/>
                <w:sz w:val="21"/>
              </w:rPr>
            </w:pPr>
            <w:r w:rsidRPr="00B6368B">
              <w:rPr>
                <w:color w:val="000000" w:themeColor="text1"/>
                <w:sz w:val="21"/>
              </w:rPr>
              <w:t>South Dakota State U</w:t>
            </w:r>
          </w:p>
        </w:tc>
        <w:tc>
          <w:tcPr>
            <w:tcW w:w="1418" w:type="dxa"/>
            <w:vAlign w:val="center"/>
          </w:tcPr>
          <w:p w14:paraId="2018C9CC" w14:textId="195BE139" w:rsidR="006051C8" w:rsidRPr="00B6368B" w:rsidRDefault="006051C8" w:rsidP="006051C8">
            <w:pPr>
              <w:jc w:val="center"/>
              <w:rPr>
                <w:color w:val="000000" w:themeColor="text1"/>
                <w:sz w:val="21"/>
              </w:rPr>
            </w:pPr>
            <w:r w:rsidRPr="00B6368B">
              <w:rPr>
                <w:color w:val="000000" w:themeColor="text1"/>
                <w:sz w:val="21"/>
              </w:rPr>
              <w:t>Yes</w:t>
            </w:r>
          </w:p>
        </w:tc>
        <w:tc>
          <w:tcPr>
            <w:tcW w:w="1033" w:type="dxa"/>
            <w:vAlign w:val="center"/>
          </w:tcPr>
          <w:p w14:paraId="72026811" w14:textId="48DF78F9" w:rsidR="006051C8" w:rsidRPr="00B6368B" w:rsidRDefault="006051C8" w:rsidP="006051C8">
            <w:pPr>
              <w:jc w:val="center"/>
              <w:rPr>
                <w:color w:val="000000" w:themeColor="text1"/>
                <w:sz w:val="21"/>
              </w:rPr>
            </w:pPr>
            <w:r>
              <w:rPr>
                <w:color w:val="000000" w:themeColor="text1"/>
                <w:sz w:val="21"/>
              </w:rPr>
              <w:t>#</w:t>
            </w:r>
            <w:r w:rsidRPr="00B6368B">
              <w:rPr>
                <w:color w:val="000000" w:themeColor="text1"/>
                <w:sz w:val="21"/>
              </w:rPr>
              <w:t>202</w:t>
            </w:r>
          </w:p>
        </w:tc>
        <w:tc>
          <w:tcPr>
            <w:tcW w:w="1232" w:type="dxa"/>
            <w:vAlign w:val="center"/>
          </w:tcPr>
          <w:p w14:paraId="615F4B46" w14:textId="3881D1C1" w:rsidR="006051C8" w:rsidRPr="00B6368B" w:rsidRDefault="006051C8" w:rsidP="006051C8">
            <w:pPr>
              <w:jc w:val="right"/>
              <w:rPr>
                <w:color w:val="000000" w:themeColor="text1"/>
                <w:sz w:val="21"/>
              </w:rPr>
            </w:pPr>
            <w:r w:rsidRPr="00B6368B">
              <w:rPr>
                <w:color w:val="000000" w:themeColor="text1"/>
                <w:sz w:val="21"/>
              </w:rPr>
              <w:t>943</w:t>
            </w:r>
          </w:p>
        </w:tc>
        <w:tc>
          <w:tcPr>
            <w:tcW w:w="1232" w:type="dxa"/>
            <w:vAlign w:val="center"/>
          </w:tcPr>
          <w:p w14:paraId="1FD79EAA" w14:textId="4011DBF9" w:rsidR="006051C8" w:rsidRPr="00B6368B" w:rsidRDefault="006051C8" w:rsidP="006051C8">
            <w:pPr>
              <w:jc w:val="right"/>
              <w:rPr>
                <w:color w:val="000000" w:themeColor="text1"/>
                <w:sz w:val="21"/>
              </w:rPr>
            </w:pPr>
            <w:r w:rsidRPr="00B6368B">
              <w:rPr>
                <w:color w:val="000000" w:themeColor="text1"/>
                <w:sz w:val="21"/>
              </w:rPr>
              <w:t>12</w:t>
            </w:r>
            <w:r>
              <w:rPr>
                <w:color w:val="000000" w:themeColor="text1"/>
                <w:sz w:val="21"/>
              </w:rPr>
              <w:t>,</w:t>
            </w:r>
            <w:r w:rsidRPr="00B6368B">
              <w:rPr>
                <w:color w:val="000000" w:themeColor="text1"/>
                <w:sz w:val="21"/>
              </w:rPr>
              <w:t>589</w:t>
            </w:r>
          </w:p>
        </w:tc>
        <w:tc>
          <w:tcPr>
            <w:tcW w:w="784" w:type="dxa"/>
            <w:vAlign w:val="center"/>
          </w:tcPr>
          <w:p w14:paraId="2DEE9841" w14:textId="023FC5A3" w:rsidR="006051C8" w:rsidRPr="00B6368B" w:rsidRDefault="006051C8" w:rsidP="006051C8">
            <w:pPr>
              <w:jc w:val="center"/>
              <w:rPr>
                <w:color w:val="000000" w:themeColor="text1"/>
                <w:sz w:val="21"/>
              </w:rPr>
            </w:pPr>
            <w:r w:rsidRPr="00B6368B">
              <w:rPr>
                <w:color w:val="000000" w:themeColor="text1"/>
                <w:sz w:val="21"/>
              </w:rPr>
              <w:t>7.5%</w:t>
            </w:r>
          </w:p>
        </w:tc>
        <w:tc>
          <w:tcPr>
            <w:tcW w:w="1368" w:type="dxa"/>
            <w:tcBorders>
              <w:bottom w:val="nil"/>
            </w:tcBorders>
            <w:vAlign w:val="center"/>
          </w:tcPr>
          <w:p w14:paraId="3553CDCE" w14:textId="6EC27D35" w:rsidR="006051C8" w:rsidRPr="00B6368B" w:rsidRDefault="0099302F" w:rsidP="0099302F">
            <w:pPr>
              <w:jc w:val="center"/>
              <w:rPr>
                <w:color w:val="000000" w:themeColor="text1"/>
                <w:sz w:val="21"/>
              </w:rPr>
            </w:pPr>
            <w:proofErr w:type="spellStart"/>
            <w:r>
              <w:rPr>
                <w:color w:val="000000" w:themeColor="text1"/>
                <w:sz w:val="21"/>
              </w:rPr>
              <w:t>Enr</w:t>
            </w:r>
            <w:proofErr w:type="spellEnd"/>
            <w:r>
              <w:rPr>
                <w:color w:val="000000" w:themeColor="text1"/>
                <w:sz w:val="21"/>
              </w:rPr>
              <w:t>. 1,981</w:t>
            </w:r>
          </w:p>
        </w:tc>
      </w:tr>
      <w:tr w:rsidR="00DC1987" w:rsidRPr="00B6368B" w14:paraId="360EE25C" w14:textId="77777777" w:rsidTr="0099302F">
        <w:tc>
          <w:tcPr>
            <w:tcW w:w="1246" w:type="dxa"/>
          </w:tcPr>
          <w:p w14:paraId="72A0DD7E" w14:textId="56FB1658" w:rsidR="006051C8" w:rsidRPr="00B6368B" w:rsidRDefault="006051C8" w:rsidP="00BC0F53">
            <w:pPr>
              <w:rPr>
                <w:color w:val="000000" w:themeColor="text1"/>
                <w:sz w:val="21"/>
              </w:rPr>
            </w:pPr>
            <w:r>
              <w:rPr>
                <w:color w:val="000000" w:themeColor="text1"/>
                <w:sz w:val="21"/>
              </w:rPr>
              <w:t>U South Dakota</w:t>
            </w:r>
          </w:p>
        </w:tc>
        <w:tc>
          <w:tcPr>
            <w:tcW w:w="1418" w:type="dxa"/>
            <w:vAlign w:val="center"/>
          </w:tcPr>
          <w:p w14:paraId="205E171F" w14:textId="79951105" w:rsidR="006051C8" w:rsidRPr="00B6368B" w:rsidRDefault="006051C8" w:rsidP="006051C8">
            <w:pPr>
              <w:jc w:val="center"/>
              <w:rPr>
                <w:color w:val="000000" w:themeColor="text1"/>
                <w:sz w:val="21"/>
              </w:rPr>
            </w:pPr>
            <w:r>
              <w:rPr>
                <w:color w:val="000000" w:themeColor="text1"/>
                <w:sz w:val="21"/>
              </w:rPr>
              <w:t>No</w:t>
            </w:r>
          </w:p>
        </w:tc>
        <w:tc>
          <w:tcPr>
            <w:tcW w:w="1033" w:type="dxa"/>
            <w:vAlign w:val="center"/>
          </w:tcPr>
          <w:p w14:paraId="54A9CCEA" w14:textId="4030D088" w:rsidR="006051C8" w:rsidRPr="00B6368B" w:rsidRDefault="006051C8" w:rsidP="006051C8">
            <w:pPr>
              <w:jc w:val="center"/>
              <w:rPr>
                <w:color w:val="000000" w:themeColor="text1"/>
                <w:sz w:val="21"/>
              </w:rPr>
            </w:pPr>
            <w:r>
              <w:rPr>
                <w:color w:val="000000" w:themeColor="text1"/>
                <w:sz w:val="21"/>
              </w:rPr>
              <w:t>#202</w:t>
            </w:r>
          </w:p>
        </w:tc>
        <w:tc>
          <w:tcPr>
            <w:tcW w:w="1232" w:type="dxa"/>
            <w:vAlign w:val="center"/>
          </w:tcPr>
          <w:p w14:paraId="1126FFE2" w14:textId="2CE16207" w:rsidR="006051C8" w:rsidRPr="00B6368B" w:rsidRDefault="006051C8" w:rsidP="006051C8">
            <w:pPr>
              <w:jc w:val="right"/>
              <w:rPr>
                <w:color w:val="000000" w:themeColor="text1"/>
                <w:sz w:val="21"/>
              </w:rPr>
            </w:pPr>
            <w:r>
              <w:rPr>
                <w:color w:val="000000" w:themeColor="text1"/>
                <w:sz w:val="21"/>
              </w:rPr>
              <w:t>274</w:t>
            </w:r>
          </w:p>
        </w:tc>
        <w:tc>
          <w:tcPr>
            <w:tcW w:w="1232" w:type="dxa"/>
            <w:vAlign w:val="center"/>
          </w:tcPr>
          <w:p w14:paraId="20333089" w14:textId="5D7A8374" w:rsidR="006051C8" w:rsidRPr="00B6368B" w:rsidRDefault="006051C8" w:rsidP="006051C8">
            <w:pPr>
              <w:jc w:val="right"/>
              <w:rPr>
                <w:color w:val="000000" w:themeColor="text1"/>
                <w:sz w:val="21"/>
              </w:rPr>
            </w:pPr>
            <w:r>
              <w:rPr>
                <w:color w:val="000000" w:themeColor="text1"/>
                <w:sz w:val="21"/>
              </w:rPr>
              <w:t>10,038</w:t>
            </w:r>
          </w:p>
        </w:tc>
        <w:tc>
          <w:tcPr>
            <w:tcW w:w="784" w:type="dxa"/>
            <w:vAlign w:val="center"/>
          </w:tcPr>
          <w:p w14:paraId="66D9AA6B" w14:textId="0830A957" w:rsidR="006051C8" w:rsidRPr="00B6368B" w:rsidRDefault="006051C8" w:rsidP="006051C8">
            <w:pPr>
              <w:jc w:val="center"/>
              <w:rPr>
                <w:color w:val="000000" w:themeColor="text1"/>
                <w:sz w:val="21"/>
              </w:rPr>
            </w:pPr>
            <w:r>
              <w:rPr>
                <w:color w:val="000000" w:themeColor="text1"/>
                <w:sz w:val="21"/>
              </w:rPr>
              <w:t>2.7%</w:t>
            </w:r>
          </w:p>
        </w:tc>
        <w:tc>
          <w:tcPr>
            <w:tcW w:w="1368" w:type="dxa"/>
            <w:tcBorders>
              <w:top w:val="nil"/>
              <w:bottom w:val="single" w:sz="4" w:space="0" w:color="auto"/>
            </w:tcBorders>
            <w:vAlign w:val="center"/>
          </w:tcPr>
          <w:p w14:paraId="476BC2FB" w14:textId="36F24EF4" w:rsidR="0099302F" w:rsidRPr="00B6368B" w:rsidRDefault="0099302F" w:rsidP="0099302F">
            <w:pPr>
              <w:jc w:val="center"/>
              <w:rPr>
                <w:color w:val="000000" w:themeColor="text1"/>
                <w:sz w:val="21"/>
              </w:rPr>
            </w:pPr>
            <w:r>
              <w:rPr>
                <w:color w:val="000000" w:themeColor="text1"/>
                <w:sz w:val="21"/>
              </w:rPr>
              <w:t>Rev. $38M</w:t>
            </w:r>
          </w:p>
        </w:tc>
      </w:tr>
      <w:tr w:rsidR="00DC1987" w:rsidRPr="00B6368B" w14:paraId="653C28ED" w14:textId="77777777" w:rsidTr="0099302F">
        <w:tc>
          <w:tcPr>
            <w:tcW w:w="1246" w:type="dxa"/>
          </w:tcPr>
          <w:p w14:paraId="740EAFB2" w14:textId="58F5BC5D" w:rsidR="00B6368B" w:rsidRPr="00B6368B" w:rsidRDefault="00B6368B" w:rsidP="00BC0F53">
            <w:pPr>
              <w:rPr>
                <w:color w:val="000000" w:themeColor="text1"/>
                <w:sz w:val="21"/>
              </w:rPr>
            </w:pPr>
            <w:r>
              <w:rPr>
                <w:color w:val="000000" w:themeColor="text1"/>
                <w:sz w:val="21"/>
              </w:rPr>
              <w:t>North Dakota State U</w:t>
            </w:r>
          </w:p>
        </w:tc>
        <w:tc>
          <w:tcPr>
            <w:tcW w:w="1418" w:type="dxa"/>
            <w:vAlign w:val="center"/>
          </w:tcPr>
          <w:p w14:paraId="72773C6B" w14:textId="0685CDC7" w:rsidR="00B6368B" w:rsidRPr="00B6368B" w:rsidRDefault="00B6368B" w:rsidP="006051C8">
            <w:pPr>
              <w:jc w:val="center"/>
              <w:rPr>
                <w:color w:val="000000" w:themeColor="text1"/>
                <w:sz w:val="21"/>
              </w:rPr>
            </w:pPr>
            <w:r>
              <w:rPr>
                <w:color w:val="000000" w:themeColor="text1"/>
                <w:sz w:val="21"/>
              </w:rPr>
              <w:t>Yes</w:t>
            </w:r>
          </w:p>
        </w:tc>
        <w:tc>
          <w:tcPr>
            <w:tcW w:w="1033" w:type="dxa"/>
            <w:vAlign w:val="center"/>
          </w:tcPr>
          <w:p w14:paraId="6355BF58" w14:textId="5633ED9C" w:rsidR="00B6368B" w:rsidRPr="00B6368B" w:rsidRDefault="00B6368B" w:rsidP="006051C8">
            <w:pPr>
              <w:jc w:val="center"/>
              <w:rPr>
                <w:color w:val="000000" w:themeColor="text1"/>
                <w:sz w:val="21"/>
              </w:rPr>
            </w:pPr>
            <w:r>
              <w:rPr>
                <w:color w:val="000000" w:themeColor="text1"/>
                <w:sz w:val="21"/>
              </w:rPr>
              <w:t>#188</w:t>
            </w:r>
          </w:p>
        </w:tc>
        <w:tc>
          <w:tcPr>
            <w:tcW w:w="1232" w:type="dxa"/>
            <w:vAlign w:val="center"/>
          </w:tcPr>
          <w:p w14:paraId="6B9A7127" w14:textId="212F5ADB" w:rsidR="00B6368B" w:rsidRPr="00B6368B" w:rsidRDefault="00B6368B" w:rsidP="006051C8">
            <w:pPr>
              <w:jc w:val="right"/>
              <w:rPr>
                <w:color w:val="000000" w:themeColor="text1"/>
                <w:sz w:val="21"/>
              </w:rPr>
            </w:pPr>
            <w:r>
              <w:rPr>
                <w:color w:val="000000" w:themeColor="text1"/>
                <w:sz w:val="21"/>
              </w:rPr>
              <w:t>1,002</w:t>
            </w:r>
          </w:p>
        </w:tc>
        <w:tc>
          <w:tcPr>
            <w:tcW w:w="1232" w:type="dxa"/>
            <w:vAlign w:val="center"/>
          </w:tcPr>
          <w:p w14:paraId="1EF3CB5F" w14:textId="30BD4D97" w:rsidR="00B6368B" w:rsidRPr="00B6368B" w:rsidRDefault="00B6368B" w:rsidP="006051C8">
            <w:pPr>
              <w:jc w:val="right"/>
              <w:rPr>
                <w:color w:val="000000" w:themeColor="text1"/>
                <w:sz w:val="21"/>
              </w:rPr>
            </w:pPr>
            <w:r>
              <w:rPr>
                <w:color w:val="000000" w:themeColor="text1"/>
                <w:sz w:val="21"/>
              </w:rPr>
              <w:t>14,516</w:t>
            </w:r>
          </w:p>
        </w:tc>
        <w:tc>
          <w:tcPr>
            <w:tcW w:w="784" w:type="dxa"/>
            <w:vAlign w:val="center"/>
          </w:tcPr>
          <w:p w14:paraId="09CDCC10" w14:textId="69565F03" w:rsidR="00B6368B" w:rsidRPr="00B6368B" w:rsidRDefault="00B6368B" w:rsidP="006051C8">
            <w:pPr>
              <w:jc w:val="center"/>
              <w:rPr>
                <w:color w:val="000000" w:themeColor="text1"/>
                <w:sz w:val="21"/>
              </w:rPr>
            </w:pPr>
            <w:r>
              <w:rPr>
                <w:color w:val="000000" w:themeColor="text1"/>
                <w:sz w:val="21"/>
              </w:rPr>
              <w:t>6.9%</w:t>
            </w:r>
          </w:p>
        </w:tc>
        <w:tc>
          <w:tcPr>
            <w:tcW w:w="1368" w:type="dxa"/>
            <w:tcBorders>
              <w:bottom w:val="nil"/>
            </w:tcBorders>
            <w:vAlign w:val="center"/>
          </w:tcPr>
          <w:p w14:paraId="371A3F68" w14:textId="08CBB2FF" w:rsidR="006051C8" w:rsidRPr="00B6368B" w:rsidRDefault="0099302F" w:rsidP="0099302F">
            <w:pPr>
              <w:jc w:val="center"/>
              <w:rPr>
                <w:color w:val="000000" w:themeColor="text1"/>
                <w:sz w:val="21"/>
              </w:rPr>
            </w:pPr>
            <w:proofErr w:type="spellStart"/>
            <w:r>
              <w:rPr>
                <w:color w:val="000000" w:themeColor="text1"/>
                <w:sz w:val="21"/>
              </w:rPr>
              <w:t>Enr</w:t>
            </w:r>
            <w:proofErr w:type="spellEnd"/>
            <w:r>
              <w:rPr>
                <w:color w:val="000000" w:themeColor="text1"/>
                <w:sz w:val="21"/>
              </w:rPr>
              <w:t>. 2,571</w:t>
            </w:r>
          </w:p>
        </w:tc>
      </w:tr>
      <w:tr w:rsidR="00DC1987" w:rsidRPr="00B6368B" w14:paraId="048B5CAF" w14:textId="77777777" w:rsidTr="0099302F">
        <w:tc>
          <w:tcPr>
            <w:tcW w:w="1246" w:type="dxa"/>
          </w:tcPr>
          <w:p w14:paraId="4FFAEAE2" w14:textId="2DA2DB17" w:rsidR="00B6368B" w:rsidRPr="00B6368B" w:rsidRDefault="006051C8" w:rsidP="00BC0F53">
            <w:pPr>
              <w:rPr>
                <w:color w:val="000000" w:themeColor="text1"/>
                <w:sz w:val="21"/>
              </w:rPr>
            </w:pPr>
            <w:r>
              <w:rPr>
                <w:color w:val="000000" w:themeColor="text1"/>
                <w:sz w:val="21"/>
              </w:rPr>
              <w:t>U North Dakota</w:t>
            </w:r>
          </w:p>
        </w:tc>
        <w:tc>
          <w:tcPr>
            <w:tcW w:w="1418" w:type="dxa"/>
            <w:vAlign w:val="center"/>
          </w:tcPr>
          <w:p w14:paraId="6811B152" w14:textId="5F9E4CC4" w:rsidR="00B6368B" w:rsidRPr="00B6368B" w:rsidRDefault="006051C8" w:rsidP="006051C8">
            <w:pPr>
              <w:jc w:val="center"/>
              <w:rPr>
                <w:color w:val="000000" w:themeColor="text1"/>
                <w:sz w:val="21"/>
              </w:rPr>
            </w:pPr>
            <w:r>
              <w:rPr>
                <w:color w:val="000000" w:themeColor="text1"/>
                <w:sz w:val="21"/>
              </w:rPr>
              <w:t>Yes</w:t>
            </w:r>
          </w:p>
        </w:tc>
        <w:tc>
          <w:tcPr>
            <w:tcW w:w="1033" w:type="dxa"/>
            <w:vAlign w:val="center"/>
          </w:tcPr>
          <w:p w14:paraId="09CC9319" w14:textId="56F3F569" w:rsidR="00B6368B" w:rsidRPr="00B6368B" w:rsidRDefault="006051C8" w:rsidP="006051C8">
            <w:pPr>
              <w:jc w:val="center"/>
              <w:rPr>
                <w:color w:val="000000" w:themeColor="text1"/>
                <w:sz w:val="21"/>
              </w:rPr>
            </w:pPr>
            <w:r>
              <w:rPr>
                <w:color w:val="000000" w:themeColor="text1"/>
                <w:sz w:val="21"/>
              </w:rPr>
              <w:t>#202</w:t>
            </w:r>
          </w:p>
        </w:tc>
        <w:tc>
          <w:tcPr>
            <w:tcW w:w="1232" w:type="dxa"/>
            <w:vAlign w:val="center"/>
          </w:tcPr>
          <w:p w14:paraId="0833E6AD" w14:textId="681AA0CC" w:rsidR="00B6368B" w:rsidRPr="00B6368B" w:rsidRDefault="006051C8" w:rsidP="006051C8">
            <w:pPr>
              <w:jc w:val="right"/>
              <w:rPr>
                <w:color w:val="000000" w:themeColor="text1"/>
                <w:sz w:val="21"/>
              </w:rPr>
            </w:pPr>
            <w:r>
              <w:rPr>
                <w:color w:val="000000" w:themeColor="text1"/>
                <w:sz w:val="21"/>
              </w:rPr>
              <w:t>945</w:t>
            </w:r>
          </w:p>
        </w:tc>
        <w:tc>
          <w:tcPr>
            <w:tcW w:w="1232" w:type="dxa"/>
            <w:vAlign w:val="center"/>
          </w:tcPr>
          <w:p w14:paraId="4A251DFD" w14:textId="6097A246" w:rsidR="00B6368B" w:rsidRPr="00B6368B" w:rsidRDefault="006051C8" w:rsidP="006051C8">
            <w:pPr>
              <w:jc w:val="right"/>
              <w:rPr>
                <w:color w:val="000000" w:themeColor="text1"/>
                <w:sz w:val="21"/>
              </w:rPr>
            </w:pPr>
            <w:r>
              <w:rPr>
                <w:color w:val="000000" w:themeColor="text1"/>
                <w:sz w:val="21"/>
              </w:rPr>
              <w:t>14,951</w:t>
            </w:r>
          </w:p>
        </w:tc>
        <w:tc>
          <w:tcPr>
            <w:tcW w:w="784" w:type="dxa"/>
            <w:vAlign w:val="center"/>
          </w:tcPr>
          <w:p w14:paraId="0CFC5405" w14:textId="34395469" w:rsidR="00B6368B" w:rsidRPr="00B6368B" w:rsidRDefault="006051C8" w:rsidP="006051C8">
            <w:pPr>
              <w:jc w:val="center"/>
              <w:rPr>
                <w:color w:val="000000" w:themeColor="text1"/>
                <w:sz w:val="21"/>
              </w:rPr>
            </w:pPr>
            <w:r>
              <w:rPr>
                <w:color w:val="000000" w:themeColor="text1"/>
                <w:sz w:val="21"/>
              </w:rPr>
              <w:t>6.3%</w:t>
            </w:r>
          </w:p>
        </w:tc>
        <w:tc>
          <w:tcPr>
            <w:tcW w:w="1368" w:type="dxa"/>
            <w:tcBorders>
              <w:top w:val="nil"/>
            </w:tcBorders>
            <w:vAlign w:val="center"/>
          </w:tcPr>
          <w:p w14:paraId="473006E1" w14:textId="44B76ED5" w:rsidR="00B6368B" w:rsidRPr="00B6368B" w:rsidRDefault="0099302F" w:rsidP="0099302F">
            <w:pPr>
              <w:jc w:val="center"/>
              <w:rPr>
                <w:color w:val="000000" w:themeColor="text1"/>
                <w:sz w:val="21"/>
              </w:rPr>
            </w:pPr>
            <w:r>
              <w:rPr>
                <w:color w:val="000000" w:themeColor="text1"/>
                <w:sz w:val="21"/>
              </w:rPr>
              <w:t>Rev. $54M</w:t>
            </w:r>
          </w:p>
        </w:tc>
      </w:tr>
      <w:tr w:rsidR="00DC1987" w:rsidRPr="00B6368B" w14:paraId="10B1CCB8" w14:textId="77777777" w:rsidTr="0099302F">
        <w:tc>
          <w:tcPr>
            <w:tcW w:w="1246" w:type="dxa"/>
            <w:vAlign w:val="center"/>
          </w:tcPr>
          <w:p w14:paraId="716F55FA" w14:textId="4058A968" w:rsidR="00B6368B" w:rsidRPr="00B6368B" w:rsidRDefault="006051C8" w:rsidP="0099302F">
            <w:pPr>
              <w:rPr>
                <w:color w:val="000000" w:themeColor="text1"/>
                <w:sz w:val="21"/>
              </w:rPr>
            </w:pPr>
            <w:r>
              <w:rPr>
                <w:color w:val="000000" w:themeColor="text1"/>
                <w:sz w:val="21"/>
              </w:rPr>
              <w:t>U Wyoming</w:t>
            </w:r>
          </w:p>
        </w:tc>
        <w:tc>
          <w:tcPr>
            <w:tcW w:w="1418" w:type="dxa"/>
            <w:vAlign w:val="center"/>
          </w:tcPr>
          <w:p w14:paraId="57423EB2" w14:textId="2467D273" w:rsidR="00B6368B" w:rsidRPr="00B6368B" w:rsidRDefault="006051C8" w:rsidP="006051C8">
            <w:pPr>
              <w:jc w:val="center"/>
              <w:rPr>
                <w:color w:val="000000" w:themeColor="text1"/>
                <w:sz w:val="21"/>
              </w:rPr>
            </w:pPr>
            <w:r>
              <w:rPr>
                <w:color w:val="000000" w:themeColor="text1"/>
                <w:sz w:val="21"/>
              </w:rPr>
              <w:t>Yes</w:t>
            </w:r>
          </w:p>
        </w:tc>
        <w:tc>
          <w:tcPr>
            <w:tcW w:w="1033" w:type="dxa"/>
            <w:vAlign w:val="center"/>
          </w:tcPr>
          <w:p w14:paraId="236C1BA4" w14:textId="3E014D2F" w:rsidR="00B6368B" w:rsidRPr="00B6368B" w:rsidRDefault="006051C8" w:rsidP="006051C8">
            <w:pPr>
              <w:jc w:val="center"/>
              <w:rPr>
                <w:color w:val="000000" w:themeColor="text1"/>
                <w:sz w:val="21"/>
              </w:rPr>
            </w:pPr>
            <w:r>
              <w:rPr>
                <w:color w:val="000000" w:themeColor="text1"/>
                <w:sz w:val="21"/>
              </w:rPr>
              <w:t>#171</w:t>
            </w:r>
          </w:p>
        </w:tc>
        <w:tc>
          <w:tcPr>
            <w:tcW w:w="1232" w:type="dxa"/>
            <w:vAlign w:val="center"/>
          </w:tcPr>
          <w:p w14:paraId="056D286A" w14:textId="52FAE1E2" w:rsidR="00B6368B" w:rsidRPr="00B6368B" w:rsidRDefault="006051C8" w:rsidP="006051C8">
            <w:pPr>
              <w:jc w:val="right"/>
              <w:rPr>
                <w:color w:val="000000" w:themeColor="text1"/>
                <w:sz w:val="21"/>
              </w:rPr>
            </w:pPr>
            <w:r>
              <w:rPr>
                <w:color w:val="000000" w:themeColor="text1"/>
                <w:sz w:val="21"/>
              </w:rPr>
              <w:t>947</w:t>
            </w:r>
          </w:p>
        </w:tc>
        <w:tc>
          <w:tcPr>
            <w:tcW w:w="1232" w:type="dxa"/>
            <w:vAlign w:val="center"/>
          </w:tcPr>
          <w:p w14:paraId="47B42913" w14:textId="7DB884D2" w:rsidR="00B6368B" w:rsidRPr="00B6368B" w:rsidRDefault="006051C8" w:rsidP="006051C8">
            <w:pPr>
              <w:jc w:val="right"/>
              <w:rPr>
                <w:color w:val="000000" w:themeColor="text1"/>
                <w:sz w:val="21"/>
              </w:rPr>
            </w:pPr>
            <w:r>
              <w:rPr>
                <w:color w:val="000000" w:themeColor="text1"/>
                <w:sz w:val="21"/>
              </w:rPr>
              <w:t>12,627</w:t>
            </w:r>
          </w:p>
        </w:tc>
        <w:tc>
          <w:tcPr>
            <w:tcW w:w="784" w:type="dxa"/>
            <w:vAlign w:val="center"/>
          </w:tcPr>
          <w:p w14:paraId="65988B14" w14:textId="2ACC77CF" w:rsidR="00B6368B" w:rsidRPr="00B6368B" w:rsidRDefault="006051C8" w:rsidP="006051C8">
            <w:pPr>
              <w:jc w:val="center"/>
              <w:rPr>
                <w:color w:val="000000" w:themeColor="text1"/>
                <w:sz w:val="21"/>
              </w:rPr>
            </w:pPr>
            <w:r>
              <w:rPr>
                <w:color w:val="000000" w:themeColor="text1"/>
                <w:sz w:val="21"/>
              </w:rPr>
              <w:t>7.5%</w:t>
            </w:r>
          </w:p>
        </w:tc>
        <w:tc>
          <w:tcPr>
            <w:tcW w:w="1368" w:type="dxa"/>
            <w:tcBorders>
              <w:bottom w:val="single" w:sz="4" w:space="0" w:color="auto"/>
            </w:tcBorders>
            <w:vAlign w:val="center"/>
          </w:tcPr>
          <w:p w14:paraId="242C0821" w14:textId="0D6CA89C" w:rsidR="00B6368B" w:rsidRDefault="0099302F" w:rsidP="0099302F">
            <w:pPr>
              <w:jc w:val="center"/>
              <w:rPr>
                <w:color w:val="000000" w:themeColor="text1"/>
                <w:sz w:val="21"/>
              </w:rPr>
            </w:pPr>
            <w:proofErr w:type="spellStart"/>
            <w:r>
              <w:rPr>
                <w:color w:val="000000" w:themeColor="text1"/>
                <w:sz w:val="21"/>
              </w:rPr>
              <w:t>Enr</w:t>
            </w:r>
            <w:proofErr w:type="spellEnd"/>
            <w:r>
              <w:rPr>
                <w:color w:val="000000" w:themeColor="text1"/>
                <w:sz w:val="21"/>
              </w:rPr>
              <w:t>. 1,157</w:t>
            </w:r>
          </w:p>
          <w:p w14:paraId="4840B181" w14:textId="4C23C0C3" w:rsidR="0099302F" w:rsidRDefault="0099302F" w:rsidP="0099302F">
            <w:pPr>
              <w:jc w:val="center"/>
              <w:rPr>
                <w:color w:val="000000" w:themeColor="text1"/>
                <w:sz w:val="21"/>
              </w:rPr>
            </w:pPr>
            <w:r>
              <w:rPr>
                <w:color w:val="000000" w:themeColor="text1"/>
                <w:sz w:val="21"/>
              </w:rPr>
              <w:t>Rev. $22M</w:t>
            </w:r>
          </w:p>
          <w:p w14:paraId="281C5B8E" w14:textId="77777777" w:rsidR="0099302F" w:rsidRPr="00B6368B" w:rsidRDefault="0099302F" w:rsidP="0099302F">
            <w:pPr>
              <w:jc w:val="center"/>
              <w:rPr>
                <w:color w:val="000000" w:themeColor="text1"/>
                <w:sz w:val="21"/>
              </w:rPr>
            </w:pPr>
          </w:p>
        </w:tc>
      </w:tr>
      <w:tr w:rsidR="00DC1987" w:rsidRPr="00B6368B" w14:paraId="14A94942" w14:textId="77777777" w:rsidTr="0099302F">
        <w:tc>
          <w:tcPr>
            <w:tcW w:w="1246" w:type="dxa"/>
          </w:tcPr>
          <w:p w14:paraId="10075FB3" w14:textId="4A0A6FB7" w:rsidR="00B6368B" w:rsidRPr="00B6368B" w:rsidRDefault="006051C8" w:rsidP="00BC0F53">
            <w:pPr>
              <w:rPr>
                <w:color w:val="000000" w:themeColor="text1"/>
                <w:sz w:val="21"/>
              </w:rPr>
            </w:pPr>
            <w:r>
              <w:rPr>
                <w:color w:val="000000" w:themeColor="text1"/>
                <w:sz w:val="21"/>
              </w:rPr>
              <w:t>Idaho State U</w:t>
            </w:r>
          </w:p>
        </w:tc>
        <w:tc>
          <w:tcPr>
            <w:tcW w:w="1418" w:type="dxa"/>
            <w:vAlign w:val="center"/>
          </w:tcPr>
          <w:p w14:paraId="05EF19FE" w14:textId="4FFEF709" w:rsidR="00B6368B" w:rsidRPr="00B6368B" w:rsidRDefault="006051C8" w:rsidP="006051C8">
            <w:pPr>
              <w:jc w:val="center"/>
              <w:rPr>
                <w:color w:val="000000" w:themeColor="text1"/>
                <w:sz w:val="21"/>
              </w:rPr>
            </w:pPr>
            <w:r>
              <w:rPr>
                <w:color w:val="000000" w:themeColor="text1"/>
                <w:sz w:val="21"/>
              </w:rPr>
              <w:t>Yes</w:t>
            </w:r>
          </w:p>
        </w:tc>
        <w:tc>
          <w:tcPr>
            <w:tcW w:w="1033" w:type="dxa"/>
            <w:vAlign w:val="center"/>
          </w:tcPr>
          <w:p w14:paraId="40C4CF15" w14:textId="0357EC77" w:rsidR="00B6368B" w:rsidRPr="00B6368B" w:rsidRDefault="006051C8" w:rsidP="006051C8">
            <w:pPr>
              <w:jc w:val="center"/>
              <w:rPr>
                <w:color w:val="000000" w:themeColor="text1"/>
                <w:sz w:val="21"/>
              </w:rPr>
            </w:pPr>
            <w:r>
              <w:rPr>
                <w:color w:val="000000" w:themeColor="text1"/>
                <w:sz w:val="21"/>
              </w:rPr>
              <w:t>Not Ranked</w:t>
            </w:r>
          </w:p>
        </w:tc>
        <w:tc>
          <w:tcPr>
            <w:tcW w:w="1232" w:type="dxa"/>
            <w:vAlign w:val="center"/>
          </w:tcPr>
          <w:p w14:paraId="5949401B" w14:textId="5F174827" w:rsidR="00B6368B" w:rsidRPr="00B6368B" w:rsidRDefault="006051C8" w:rsidP="006051C8">
            <w:pPr>
              <w:jc w:val="right"/>
              <w:rPr>
                <w:color w:val="000000" w:themeColor="text1"/>
                <w:sz w:val="21"/>
              </w:rPr>
            </w:pPr>
            <w:r>
              <w:rPr>
                <w:color w:val="000000" w:themeColor="text1"/>
                <w:sz w:val="21"/>
              </w:rPr>
              <w:t>1,294</w:t>
            </w:r>
          </w:p>
        </w:tc>
        <w:tc>
          <w:tcPr>
            <w:tcW w:w="1232" w:type="dxa"/>
            <w:vAlign w:val="center"/>
          </w:tcPr>
          <w:p w14:paraId="6A2D1FBA" w14:textId="1B37DF7B" w:rsidR="00B6368B" w:rsidRPr="00B6368B" w:rsidRDefault="006051C8" w:rsidP="006051C8">
            <w:pPr>
              <w:jc w:val="right"/>
              <w:rPr>
                <w:color w:val="000000" w:themeColor="text1"/>
                <w:sz w:val="21"/>
              </w:rPr>
            </w:pPr>
            <w:r>
              <w:rPr>
                <w:color w:val="000000" w:themeColor="text1"/>
                <w:sz w:val="21"/>
              </w:rPr>
              <w:t>13,569</w:t>
            </w:r>
          </w:p>
        </w:tc>
        <w:tc>
          <w:tcPr>
            <w:tcW w:w="784" w:type="dxa"/>
            <w:vAlign w:val="center"/>
          </w:tcPr>
          <w:p w14:paraId="60270D31" w14:textId="77777777" w:rsidR="00B6368B" w:rsidRPr="00B6368B" w:rsidRDefault="00B6368B" w:rsidP="006051C8">
            <w:pPr>
              <w:jc w:val="center"/>
              <w:rPr>
                <w:color w:val="000000" w:themeColor="text1"/>
                <w:sz w:val="21"/>
              </w:rPr>
            </w:pPr>
          </w:p>
        </w:tc>
        <w:tc>
          <w:tcPr>
            <w:tcW w:w="1368" w:type="dxa"/>
            <w:tcBorders>
              <w:bottom w:val="nil"/>
            </w:tcBorders>
            <w:vAlign w:val="center"/>
          </w:tcPr>
          <w:p w14:paraId="5531FCD9" w14:textId="6B94D9F3" w:rsidR="00B6368B" w:rsidRPr="00B6368B" w:rsidRDefault="0099302F" w:rsidP="0099302F">
            <w:pPr>
              <w:jc w:val="center"/>
              <w:rPr>
                <w:color w:val="000000" w:themeColor="text1"/>
                <w:sz w:val="21"/>
              </w:rPr>
            </w:pPr>
            <w:proofErr w:type="spellStart"/>
            <w:r>
              <w:rPr>
                <w:color w:val="000000" w:themeColor="text1"/>
                <w:sz w:val="21"/>
              </w:rPr>
              <w:t>Enr</w:t>
            </w:r>
            <w:proofErr w:type="spellEnd"/>
            <w:r>
              <w:rPr>
                <w:color w:val="000000" w:themeColor="text1"/>
                <w:sz w:val="21"/>
              </w:rPr>
              <w:t>. 4,501</w:t>
            </w:r>
          </w:p>
        </w:tc>
      </w:tr>
      <w:tr w:rsidR="00DC1987" w:rsidRPr="00B6368B" w14:paraId="475C4DB8" w14:textId="77777777" w:rsidTr="0099302F">
        <w:tc>
          <w:tcPr>
            <w:tcW w:w="1246" w:type="dxa"/>
            <w:vAlign w:val="center"/>
          </w:tcPr>
          <w:p w14:paraId="029E78DC" w14:textId="77777777" w:rsidR="006051C8" w:rsidRDefault="006051C8" w:rsidP="0099302F">
            <w:pPr>
              <w:rPr>
                <w:color w:val="000000" w:themeColor="text1"/>
                <w:sz w:val="21"/>
              </w:rPr>
            </w:pPr>
            <w:r>
              <w:rPr>
                <w:color w:val="000000" w:themeColor="text1"/>
                <w:sz w:val="21"/>
              </w:rPr>
              <w:t>U Idaho</w:t>
            </w:r>
          </w:p>
          <w:p w14:paraId="3D6C2119" w14:textId="429C5610" w:rsidR="0099302F" w:rsidRPr="00B6368B" w:rsidRDefault="0099302F" w:rsidP="0099302F">
            <w:pPr>
              <w:rPr>
                <w:color w:val="000000" w:themeColor="text1"/>
                <w:sz w:val="21"/>
              </w:rPr>
            </w:pPr>
          </w:p>
        </w:tc>
        <w:tc>
          <w:tcPr>
            <w:tcW w:w="1418" w:type="dxa"/>
            <w:vAlign w:val="center"/>
          </w:tcPr>
          <w:p w14:paraId="783E97CB" w14:textId="38FEEC71" w:rsidR="00B6368B" w:rsidRPr="00B6368B" w:rsidRDefault="006051C8" w:rsidP="006051C8">
            <w:pPr>
              <w:jc w:val="center"/>
              <w:rPr>
                <w:color w:val="000000" w:themeColor="text1"/>
                <w:sz w:val="21"/>
              </w:rPr>
            </w:pPr>
            <w:r>
              <w:rPr>
                <w:color w:val="000000" w:themeColor="text1"/>
                <w:sz w:val="21"/>
              </w:rPr>
              <w:t>Yes</w:t>
            </w:r>
          </w:p>
        </w:tc>
        <w:tc>
          <w:tcPr>
            <w:tcW w:w="1033" w:type="dxa"/>
            <w:vAlign w:val="center"/>
          </w:tcPr>
          <w:p w14:paraId="14522D2D" w14:textId="26C18245" w:rsidR="00B6368B" w:rsidRPr="00B6368B" w:rsidRDefault="006051C8" w:rsidP="006051C8">
            <w:pPr>
              <w:jc w:val="center"/>
              <w:rPr>
                <w:color w:val="000000" w:themeColor="text1"/>
                <w:sz w:val="21"/>
              </w:rPr>
            </w:pPr>
            <w:r>
              <w:rPr>
                <w:color w:val="000000" w:themeColor="text1"/>
                <w:sz w:val="21"/>
              </w:rPr>
              <w:t>#171</w:t>
            </w:r>
          </w:p>
        </w:tc>
        <w:tc>
          <w:tcPr>
            <w:tcW w:w="1232" w:type="dxa"/>
            <w:vAlign w:val="center"/>
          </w:tcPr>
          <w:p w14:paraId="2F9BD683" w14:textId="68AF5506" w:rsidR="00B6368B" w:rsidRPr="00B6368B" w:rsidRDefault="006051C8" w:rsidP="006051C8">
            <w:pPr>
              <w:jc w:val="right"/>
              <w:rPr>
                <w:color w:val="000000" w:themeColor="text1"/>
                <w:sz w:val="21"/>
              </w:rPr>
            </w:pPr>
            <w:r>
              <w:rPr>
                <w:color w:val="000000" w:themeColor="text1"/>
                <w:sz w:val="21"/>
              </w:rPr>
              <w:t>1,003</w:t>
            </w:r>
          </w:p>
        </w:tc>
        <w:tc>
          <w:tcPr>
            <w:tcW w:w="1232" w:type="dxa"/>
            <w:vAlign w:val="center"/>
          </w:tcPr>
          <w:p w14:paraId="08813E27" w14:textId="295DBDB8" w:rsidR="00B6368B" w:rsidRPr="00B6368B" w:rsidRDefault="006051C8" w:rsidP="006051C8">
            <w:pPr>
              <w:jc w:val="right"/>
              <w:rPr>
                <w:color w:val="000000" w:themeColor="text1"/>
                <w:sz w:val="21"/>
              </w:rPr>
            </w:pPr>
            <w:r>
              <w:rPr>
                <w:color w:val="000000" w:themeColor="text1"/>
                <w:sz w:val="21"/>
              </w:rPr>
              <w:t>11,534</w:t>
            </w:r>
          </w:p>
        </w:tc>
        <w:tc>
          <w:tcPr>
            <w:tcW w:w="784" w:type="dxa"/>
            <w:vAlign w:val="center"/>
          </w:tcPr>
          <w:p w14:paraId="613A1A7C" w14:textId="77777777" w:rsidR="00B6368B" w:rsidRPr="00B6368B" w:rsidRDefault="00B6368B" w:rsidP="006051C8">
            <w:pPr>
              <w:jc w:val="center"/>
              <w:rPr>
                <w:color w:val="000000" w:themeColor="text1"/>
                <w:sz w:val="21"/>
              </w:rPr>
            </w:pPr>
          </w:p>
        </w:tc>
        <w:tc>
          <w:tcPr>
            <w:tcW w:w="1368" w:type="dxa"/>
            <w:tcBorders>
              <w:top w:val="nil"/>
              <w:bottom w:val="single" w:sz="4" w:space="0" w:color="auto"/>
            </w:tcBorders>
            <w:vAlign w:val="center"/>
          </w:tcPr>
          <w:p w14:paraId="0D16E95B" w14:textId="131917EC" w:rsidR="00B6368B" w:rsidRPr="00B6368B" w:rsidRDefault="0099302F" w:rsidP="0099302F">
            <w:pPr>
              <w:jc w:val="center"/>
              <w:rPr>
                <w:color w:val="000000" w:themeColor="text1"/>
                <w:sz w:val="21"/>
              </w:rPr>
            </w:pPr>
            <w:r>
              <w:rPr>
                <w:color w:val="000000" w:themeColor="text1"/>
                <w:sz w:val="21"/>
              </w:rPr>
              <w:t>Rev. $112M</w:t>
            </w:r>
          </w:p>
        </w:tc>
      </w:tr>
      <w:tr w:rsidR="00DC1987" w:rsidRPr="00B6368B" w14:paraId="25EA6072" w14:textId="77777777" w:rsidTr="0099302F">
        <w:tc>
          <w:tcPr>
            <w:tcW w:w="1246" w:type="dxa"/>
          </w:tcPr>
          <w:p w14:paraId="3B1E6396" w14:textId="24EF21A5" w:rsidR="00B6368B" w:rsidRPr="00B6368B" w:rsidRDefault="006051C8" w:rsidP="00BC0F53">
            <w:pPr>
              <w:rPr>
                <w:color w:val="000000" w:themeColor="text1"/>
                <w:sz w:val="21"/>
              </w:rPr>
            </w:pPr>
            <w:r>
              <w:rPr>
                <w:color w:val="000000" w:themeColor="text1"/>
                <w:sz w:val="21"/>
              </w:rPr>
              <w:t>Montana State U</w:t>
            </w:r>
          </w:p>
        </w:tc>
        <w:tc>
          <w:tcPr>
            <w:tcW w:w="1418" w:type="dxa"/>
            <w:vAlign w:val="center"/>
          </w:tcPr>
          <w:p w14:paraId="17DF3FDF" w14:textId="04EA8A7E" w:rsidR="00B6368B" w:rsidRPr="00B6368B" w:rsidRDefault="006051C8" w:rsidP="006051C8">
            <w:pPr>
              <w:jc w:val="center"/>
              <w:rPr>
                <w:color w:val="000000" w:themeColor="text1"/>
                <w:sz w:val="21"/>
              </w:rPr>
            </w:pPr>
            <w:r>
              <w:rPr>
                <w:color w:val="000000" w:themeColor="text1"/>
                <w:sz w:val="21"/>
              </w:rPr>
              <w:t>Yes</w:t>
            </w:r>
          </w:p>
        </w:tc>
        <w:tc>
          <w:tcPr>
            <w:tcW w:w="1033" w:type="dxa"/>
            <w:vAlign w:val="center"/>
          </w:tcPr>
          <w:p w14:paraId="6AA20156" w14:textId="34CFA531" w:rsidR="00B6368B" w:rsidRPr="00B6368B" w:rsidRDefault="006051C8" w:rsidP="006051C8">
            <w:pPr>
              <w:jc w:val="center"/>
              <w:rPr>
                <w:color w:val="000000" w:themeColor="text1"/>
                <w:sz w:val="21"/>
              </w:rPr>
            </w:pPr>
            <w:r>
              <w:rPr>
                <w:color w:val="000000" w:themeColor="text1"/>
                <w:sz w:val="21"/>
              </w:rPr>
              <w:t>#210</w:t>
            </w:r>
          </w:p>
        </w:tc>
        <w:tc>
          <w:tcPr>
            <w:tcW w:w="1232" w:type="dxa"/>
            <w:vAlign w:val="center"/>
          </w:tcPr>
          <w:p w14:paraId="641A2A57" w14:textId="1D012318" w:rsidR="00B6368B" w:rsidRPr="00B6368B" w:rsidRDefault="006051C8" w:rsidP="006051C8">
            <w:pPr>
              <w:jc w:val="right"/>
              <w:rPr>
                <w:color w:val="000000" w:themeColor="text1"/>
                <w:sz w:val="21"/>
              </w:rPr>
            </w:pPr>
            <w:r>
              <w:rPr>
                <w:color w:val="000000" w:themeColor="text1"/>
                <w:sz w:val="21"/>
              </w:rPr>
              <w:t>786</w:t>
            </w:r>
          </w:p>
        </w:tc>
        <w:tc>
          <w:tcPr>
            <w:tcW w:w="1232" w:type="dxa"/>
            <w:vAlign w:val="center"/>
          </w:tcPr>
          <w:p w14:paraId="5AD72D3C" w14:textId="4FABFE79" w:rsidR="00B6368B" w:rsidRPr="00B6368B" w:rsidRDefault="006051C8" w:rsidP="006051C8">
            <w:pPr>
              <w:jc w:val="right"/>
              <w:rPr>
                <w:color w:val="000000" w:themeColor="text1"/>
                <w:sz w:val="21"/>
              </w:rPr>
            </w:pPr>
            <w:r>
              <w:rPr>
                <w:color w:val="000000" w:themeColor="text1"/>
                <w:sz w:val="21"/>
              </w:rPr>
              <w:t>15,668</w:t>
            </w:r>
          </w:p>
        </w:tc>
        <w:tc>
          <w:tcPr>
            <w:tcW w:w="784" w:type="dxa"/>
            <w:vAlign w:val="center"/>
          </w:tcPr>
          <w:p w14:paraId="0BEF4AA4" w14:textId="144E4EFD" w:rsidR="00B6368B" w:rsidRPr="00B6368B" w:rsidRDefault="006051C8" w:rsidP="006051C8">
            <w:pPr>
              <w:jc w:val="center"/>
              <w:rPr>
                <w:color w:val="000000" w:themeColor="text1"/>
                <w:sz w:val="21"/>
              </w:rPr>
            </w:pPr>
            <w:r>
              <w:rPr>
                <w:color w:val="000000" w:themeColor="text1"/>
                <w:sz w:val="21"/>
              </w:rPr>
              <w:t>5%</w:t>
            </w:r>
          </w:p>
        </w:tc>
        <w:tc>
          <w:tcPr>
            <w:tcW w:w="1368" w:type="dxa"/>
            <w:tcBorders>
              <w:bottom w:val="nil"/>
            </w:tcBorders>
            <w:vAlign w:val="bottom"/>
          </w:tcPr>
          <w:p w14:paraId="12A6DB73" w14:textId="1B855C26" w:rsidR="00B6368B" w:rsidRDefault="0099302F" w:rsidP="0099302F">
            <w:pPr>
              <w:jc w:val="center"/>
              <w:rPr>
                <w:color w:val="000000" w:themeColor="text1"/>
                <w:sz w:val="21"/>
              </w:rPr>
            </w:pPr>
            <w:proofErr w:type="spellStart"/>
            <w:r>
              <w:rPr>
                <w:color w:val="000000" w:themeColor="text1"/>
                <w:sz w:val="21"/>
              </w:rPr>
              <w:t>Enr</w:t>
            </w:r>
            <w:proofErr w:type="spellEnd"/>
            <w:r>
              <w:rPr>
                <w:color w:val="000000" w:themeColor="text1"/>
                <w:sz w:val="21"/>
              </w:rPr>
              <w:t>. 1,735</w:t>
            </w:r>
          </w:p>
          <w:p w14:paraId="760F2202" w14:textId="77777777" w:rsidR="0099302F" w:rsidRPr="00B6368B" w:rsidRDefault="0099302F" w:rsidP="0099302F">
            <w:pPr>
              <w:jc w:val="center"/>
              <w:rPr>
                <w:color w:val="000000" w:themeColor="text1"/>
                <w:sz w:val="21"/>
              </w:rPr>
            </w:pPr>
          </w:p>
        </w:tc>
      </w:tr>
      <w:tr w:rsidR="00DC1987" w:rsidRPr="00B6368B" w14:paraId="22B2157D" w14:textId="77777777" w:rsidTr="0099302F">
        <w:tc>
          <w:tcPr>
            <w:tcW w:w="1246" w:type="dxa"/>
            <w:vAlign w:val="center"/>
          </w:tcPr>
          <w:p w14:paraId="7A820D22" w14:textId="263D7FC1" w:rsidR="006051C8" w:rsidRPr="00B6368B" w:rsidRDefault="006051C8" w:rsidP="0099302F">
            <w:pPr>
              <w:rPr>
                <w:color w:val="000000" w:themeColor="text1"/>
                <w:sz w:val="21"/>
              </w:rPr>
            </w:pPr>
            <w:r>
              <w:rPr>
                <w:color w:val="000000" w:themeColor="text1"/>
                <w:sz w:val="21"/>
              </w:rPr>
              <w:t>U Montana</w:t>
            </w:r>
          </w:p>
        </w:tc>
        <w:tc>
          <w:tcPr>
            <w:tcW w:w="1418" w:type="dxa"/>
            <w:vAlign w:val="center"/>
          </w:tcPr>
          <w:p w14:paraId="6A3ED632" w14:textId="71769ECD" w:rsidR="006051C8" w:rsidRPr="00B6368B" w:rsidRDefault="006051C8" w:rsidP="006051C8">
            <w:pPr>
              <w:jc w:val="center"/>
              <w:rPr>
                <w:color w:val="000000" w:themeColor="text1"/>
                <w:sz w:val="21"/>
              </w:rPr>
            </w:pPr>
            <w:r>
              <w:rPr>
                <w:color w:val="000000" w:themeColor="text1"/>
                <w:sz w:val="21"/>
              </w:rPr>
              <w:t>No</w:t>
            </w:r>
          </w:p>
        </w:tc>
        <w:tc>
          <w:tcPr>
            <w:tcW w:w="1033" w:type="dxa"/>
            <w:vAlign w:val="center"/>
          </w:tcPr>
          <w:p w14:paraId="07AC3E51" w14:textId="6EB70845" w:rsidR="006051C8" w:rsidRPr="00B6368B" w:rsidRDefault="006051C8" w:rsidP="006051C8">
            <w:pPr>
              <w:jc w:val="center"/>
              <w:rPr>
                <w:color w:val="000000" w:themeColor="text1"/>
                <w:sz w:val="21"/>
              </w:rPr>
            </w:pPr>
            <w:r>
              <w:rPr>
                <w:color w:val="000000" w:themeColor="text1"/>
                <w:sz w:val="21"/>
              </w:rPr>
              <w:t>#214</w:t>
            </w:r>
          </w:p>
        </w:tc>
        <w:tc>
          <w:tcPr>
            <w:tcW w:w="1232" w:type="dxa"/>
            <w:vAlign w:val="center"/>
          </w:tcPr>
          <w:p w14:paraId="75DF7074" w14:textId="7EC52B2F" w:rsidR="006051C8" w:rsidRPr="00B6368B" w:rsidRDefault="006051C8" w:rsidP="006051C8">
            <w:pPr>
              <w:jc w:val="right"/>
              <w:rPr>
                <w:color w:val="000000" w:themeColor="text1"/>
                <w:sz w:val="21"/>
              </w:rPr>
            </w:pPr>
            <w:r>
              <w:rPr>
                <w:color w:val="000000" w:themeColor="text1"/>
                <w:sz w:val="21"/>
              </w:rPr>
              <w:t>506</w:t>
            </w:r>
          </w:p>
        </w:tc>
        <w:tc>
          <w:tcPr>
            <w:tcW w:w="1232" w:type="dxa"/>
            <w:vAlign w:val="center"/>
          </w:tcPr>
          <w:p w14:paraId="17EA19D7" w14:textId="6D16AE78" w:rsidR="006051C8" w:rsidRPr="00B6368B" w:rsidRDefault="006051C8" w:rsidP="006051C8">
            <w:pPr>
              <w:jc w:val="right"/>
              <w:rPr>
                <w:color w:val="000000" w:themeColor="text1"/>
                <w:sz w:val="21"/>
              </w:rPr>
            </w:pPr>
            <w:r>
              <w:rPr>
                <w:color w:val="000000" w:themeColor="text1"/>
                <w:sz w:val="21"/>
              </w:rPr>
              <w:t>13,358</w:t>
            </w:r>
          </w:p>
        </w:tc>
        <w:tc>
          <w:tcPr>
            <w:tcW w:w="784" w:type="dxa"/>
            <w:vAlign w:val="center"/>
          </w:tcPr>
          <w:p w14:paraId="0AEDFEC9" w14:textId="32A76ACD" w:rsidR="006051C8" w:rsidRPr="00B6368B" w:rsidRDefault="0099302F" w:rsidP="006051C8">
            <w:pPr>
              <w:jc w:val="center"/>
              <w:rPr>
                <w:color w:val="000000" w:themeColor="text1"/>
                <w:sz w:val="21"/>
              </w:rPr>
            </w:pPr>
            <w:r>
              <w:rPr>
                <w:color w:val="000000" w:themeColor="text1"/>
                <w:sz w:val="21"/>
              </w:rPr>
              <w:t>3.8%</w:t>
            </w:r>
          </w:p>
        </w:tc>
        <w:tc>
          <w:tcPr>
            <w:tcW w:w="1368" w:type="dxa"/>
            <w:tcBorders>
              <w:top w:val="nil"/>
            </w:tcBorders>
            <w:vAlign w:val="bottom"/>
          </w:tcPr>
          <w:p w14:paraId="5751F0B9" w14:textId="7D8CBEEC" w:rsidR="006051C8" w:rsidRDefault="0099302F" w:rsidP="0099302F">
            <w:pPr>
              <w:jc w:val="center"/>
              <w:rPr>
                <w:color w:val="000000" w:themeColor="text1"/>
                <w:sz w:val="21"/>
              </w:rPr>
            </w:pPr>
            <w:r>
              <w:rPr>
                <w:color w:val="000000" w:themeColor="text1"/>
                <w:sz w:val="21"/>
              </w:rPr>
              <w:t>Rev. $50M</w:t>
            </w:r>
          </w:p>
          <w:p w14:paraId="675428E7" w14:textId="77777777" w:rsidR="0099302F" w:rsidRPr="00B6368B" w:rsidRDefault="0099302F" w:rsidP="0099302F">
            <w:pPr>
              <w:jc w:val="center"/>
              <w:rPr>
                <w:color w:val="000000" w:themeColor="text1"/>
                <w:sz w:val="21"/>
              </w:rPr>
            </w:pPr>
          </w:p>
        </w:tc>
      </w:tr>
    </w:tbl>
    <w:p w14:paraId="378EA40C" w14:textId="585833B9" w:rsidR="000D14AC" w:rsidRDefault="000D14AC" w:rsidP="00BC0F53">
      <w:pPr>
        <w:rPr>
          <w:color w:val="000000" w:themeColor="text1"/>
        </w:rPr>
      </w:pPr>
    </w:p>
    <w:p w14:paraId="4AC5298E" w14:textId="77777777" w:rsidR="000D14AC" w:rsidRDefault="000D14AC">
      <w:pPr>
        <w:rPr>
          <w:color w:val="000000" w:themeColor="text1"/>
        </w:rPr>
      </w:pPr>
      <w:r>
        <w:rPr>
          <w:color w:val="000000" w:themeColor="text1"/>
        </w:rPr>
        <w:br w:type="page"/>
      </w:r>
    </w:p>
    <w:p w14:paraId="631C8647" w14:textId="77777777" w:rsidR="00BC7300" w:rsidRPr="00F97DBC" w:rsidRDefault="00BC7300" w:rsidP="00BC0F53">
      <w:pPr>
        <w:rPr>
          <w:color w:val="000000" w:themeColor="text1"/>
        </w:rPr>
      </w:pPr>
    </w:p>
    <w:p w14:paraId="0D821EFD" w14:textId="77777777" w:rsidR="00BC0F53" w:rsidRDefault="00BC0F53" w:rsidP="007176EE"/>
    <w:p w14:paraId="1F0FFA6F" w14:textId="7EB9F5A6" w:rsidR="00A40A7E" w:rsidRPr="002D5317" w:rsidRDefault="00A40A7E" w:rsidP="002D5317">
      <w:pPr>
        <w:pStyle w:val="ListParagraph"/>
        <w:numPr>
          <w:ilvl w:val="0"/>
          <w:numId w:val="21"/>
        </w:numPr>
        <w:pBdr>
          <w:bottom w:val="single" w:sz="4" w:space="1" w:color="auto"/>
        </w:pBdr>
        <w:ind w:left="360"/>
        <w:rPr>
          <w:b/>
          <w:sz w:val="28"/>
        </w:rPr>
      </w:pPr>
      <w:r w:rsidRPr="002D5317">
        <w:rPr>
          <w:b/>
          <w:sz w:val="28"/>
        </w:rPr>
        <w:t>International Recruitme</w:t>
      </w:r>
      <w:r w:rsidR="007176EE" w:rsidRPr="002D5317">
        <w:rPr>
          <w:b/>
          <w:sz w:val="28"/>
        </w:rPr>
        <w:t>nt at the University of Montana</w:t>
      </w:r>
    </w:p>
    <w:p w14:paraId="13BAA5B0" w14:textId="77777777" w:rsidR="007176EE" w:rsidRDefault="007176EE" w:rsidP="007176EE">
      <w:pPr>
        <w:rPr>
          <w:b/>
        </w:rPr>
      </w:pPr>
    </w:p>
    <w:p w14:paraId="08D81544" w14:textId="77777777" w:rsidR="000D14AC" w:rsidRDefault="000D14AC" w:rsidP="007176EE">
      <w:pPr>
        <w:rPr>
          <w:b/>
        </w:rPr>
      </w:pPr>
      <w:bookmarkStart w:id="0" w:name="_GoBack"/>
      <w:bookmarkEnd w:id="0"/>
    </w:p>
    <w:p w14:paraId="64B47BA9" w14:textId="77777777" w:rsidR="000D14AC" w:rsidRDefault="000D14AC" w:rsidP="007176EE">
      <w:pPr>
        <w:rPr>
          <w:b/>
        </w:rPr>
      </w:pPr>
    </w:p>
    <w:p w14:paraId="1FCDFBE6" w14:textId="263F295F" w:rsidR="000D14AC" w:rsidRDefault="000D14AC" w:rsidP="007176EE">
      <w:pPr>
        <w:rPr>
          <w:b/>
        </w:rPr>
      </w:pPr>
      <w:r w:rsidRPr="000D14AC">
        <w:rPr>
          <w:b/>
          <w:noProof/>
        </w:rPr>
        <w:drawing>
          <wp:inline distT="0" distB="0" distL="0" distR="0" wp14:anchorId="1E638D1B" wp14:editId="759010B2">
            <wp:extent cx="5421547" cy="3717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798" t="4638" r="17246" b="1546"/>
                    <a:stretch/>
                  </pic:blipFill>
                  <pic:spPr bwMode="auto">
                    <a:xfrm>
                      <a:off x="0" y="0"/>
                      <a:ext cx="5434342" cy="3726530"/>
                    </a:xfrm>
                    <a:prstGeom prst="rect">
                      <a:avLst/>
                    </a:prstGeom>
                    <a:ln>
                      <a:noFill/>
                    </a:ln>
                    <a:extLst>
                      <a:ext uri="{53640926-AAD7-44D8-BBD7-CCE9431645EC}">
                        <a14:shadowObscured xmlns:a14="http://schemas.microsoft.com/office/drawing/2010/main"/>
                      </a:ext>
                    </a:extLst>
                  </pic:spPr>
                </pic:pic>
              </a:graphicData>
            </a:graphic>
          </wp:inline>
        </w:drawing>
      </w:r>
    </w:p>
    <w:p w14:paraId="59D2DBA7" w14:textId="77777777" w:rsidR="00DE19BB" w:rsidRDefault="00DE19BB" w:rsidP="007176EE">
      <w:pPr>
        <w:rPr>
          <w:sz w:val="21"/>
        </w:rPr>
      </w:pPr>
    </w:p>
    <w:p w14:paraId="065FA4AF" w14:textId="77777777" w:rsidR="00900627" w:rsidRPr="002D5317" w:rsidRDefault="006648DE" w:rsidP="007176EE">
      <w:pPr>
        <w:rPr>
          <w:u w:val="single"/>
        </w:rPr>
      </w:pPr>
      <w:r w:rsidRPr="002D5317">
        <w:rPr>
          <w:u w:val="single"/>
        </w:rPr>
        <w:t>Comment</w:t>
      </w:r>
      <w:r w:rsidR="00900627" w:rsidRPr="002D5317">
        <w:rPr>
          <w:u w:val="single"/>
        </w:rPr>
        <w:t>s</w:t>
      </w:r>
      <w:r w:rsidRPr="002D5317">
        <w:rPr>
          <w:u w:val="single"/>
        </w:rPr>
        <w:t>:</w:t>
      </w:r>
      <w:r w:rsidR="00A5731C" w:rsidRPr="002D5317">
        <w:rPr>
          <w:u w:val="single"/>
        </w:rPr>
        <w:t xml:space="preserve"> </w:t>
      </w:r>
    </w:p>
    <w:p w14:paraId="0357C0B1" w14:textId="217192C4" w:rsidR="00900627" w:rsidRPr="002D5317" w:rsidRDefault="00A5731C" w:rsidP="000068A6">
      <w:pPr>
        <w:pStyle w:val="ListParagraph"/>
        <w:numPr>
          <w:ilvl w:val="0"/>
          <w:numId w:val="15"/>
        </w:numPr>
      </w:pPr>
      <w:proofErr w:type="spellStart"/>
      <w:r w:rsidRPr="002D5317">
        <w:t>Phillipino</w:t>
      </w:r>
      <w:proofErr w:type="spellEnd"/>
      <w:r w:rsidRPr="002D5317">
        <w:t xml:space="preserve"> students are almost all enrolled in the </w:t>
      </w:r>
      <w:proofErr w:type="spellStart"/>
      <w:r w:rsidRPr="002D5317">
        <w:t>tDPT</w:t>
      </w:r>
      <w:proofErr w:type="spellEnd"/>
      <w:r w:rsidRPr="002D5317">
        <w:t xml:space="preserve"> program (online</w:t>
      </w:r>
      <w:r w:rsidR="008F02EC" w:rsidRPr="002D5317">
        <w:t>) at the College of Health Professions and Biomedical Sciences.</w:t>
      </w:r>
    </w:p>
    <w:p w14:paraId="68F9FFAF" w14:textId="77777777" w:rsidR="00DE19BB" w:rsidRPr="002D5317" w:rsidRDefault="00DE19BB" w:rsidP="00DE19BB">
      <w:pPr>
        <w:pStyle w:val="ListParagraph"/>
      </w:pPr>
    </w:p>
    <w:p w14:paraId="1D183662" w14:textId="489BCA60" w:rsidR="000068A6" w:rsidRPr="002D5317" w:rsidRDefault="00DE19BB" w:rsidP="000068A6">
      <w:pPr>
        <w:pStyle w:val="ListParagraph"/>
        <w:numPr>
          <w:ilvl w:val="0"/>
          <w:numId w:val="15"/>
        </w:numPr>
      </w:pPr>
      <w:r w:rsidRPr="002D5317">
        <w:t xml:space="preserve">UM has a much smaller percentage of Chinese students than the U.S. average; recruitment efforts in this region are very competitive, with many other universities investing more in this market than UM invests in its total international recruitment plan. Furthermore, university rankings play a significant role in a </w:t>
      </w:r>
      <w:proofErr w:type="spellStart"/>
      <w:r w:rsidRPr="002D5317">
        <w:t>Cinese</w:t>
      </w:r>
      <w:proofErr w:type="spellEnd"/>
      <w:r w:rsidRPr="002D5317">
        <w:t xml:space="preserve"> family’s </w:t>
      </w:r>
      <w:proofErr w:type="spellStart"/>
      <w:r w:rsidRPr="002D5317">
        <w:t>decisionto</w:t>
      </w:r>
      <w:proofErr w:type="spellEnd"/>
      <w:r w:rsidRPr="002D5317">
        <w:t xml:space="preserve"> send their child to the </w:t>
      </w:r>
      <w:proofErr w:type="gramStart"/>
      <w:r w:rsidRPr="002D5317">
        <w:t>U.S..</w:t>
      </w:r>
      <w:proofErr w:type="gramEnd"/>
      <w:r w:rsidRPr="002D5317">
        <w:t xml:space="preserve"> Nevertheless, since 2014 UM has engaged with several AIRC-approved recruitment agencies that work mainly in China. Although agencies play a significant role in recruitment in China, the outcome of these relationships takes time for fruition. </w:t>
      </w:r>
    </w:p>
    <w:p w14:paraId="06BE2B9D" w14:textId="77777777" w:rsidR="00DE19BB" w:rsidRDefault="00DE19BB" w:rsidP="00DE19BB">
      <w:pPr>
        <w:rPr>
          <w:sz w:val="21"/>
        </w:rPr>
      </w:pPr>
    </w:p>
    <w:p w14:paraId="2A7516D7" w14:textId="77777777" w:rsidR="00DE19BB" w:rsidRPr="00DE19BB" w:rsidRDefault="00DE19BB" w:rsidP="00DE19BB">
      <w:pPr>
        <w:rPr>
          <w:sz w:val="21"/>
        </w:rPr>
      </w:pPr>
    </w:p>
    <w:p w14:paraId="4F5EAB41" w14:textId="77777777" w:rsidR="000D14AC" w:rsidRDefault="000D14AC" w:rsidP="007176EE">
      <w:pPr>
        <w:rPr>
          <w:b/>
        </w:rPr>
      </w:pPr>
    </w:p>
    <w:p w14:paraId="7DDCB686" w14:textId="77777777" w:rsidR="000D14AC" w:rsidRDefault="000D14AC" w:rsidP="007176EE">
      <w:pPr>
        <w:rPr>
          <w:b/>
        </w:rPr>
      </w:pPr>
    </w:p>
    <w:p w14:paraId="175331B0" w14:textId="77777777" w:rsidR="000D14AC" w:rsidRDefault="000D14AC" w:rsidP="007176EE">
      <w:pPr>
        <w:rPr>
          <w:b/>
        </w:rPr>
      </w:pPr>
    </w:p>
    <w:p w14:paraId="6DA5DBEA" w14:textId="77777777" w:rsidR="000D14AC" w:rsidRDefault="000D14AC" w:rsidP="007176EE">
      <w:pPr>
        <w:rPr>
          <w:b/>
        </w:rPr>
      </w:pPr>
    </w:p>
    <w:p w14:paraId="0EF29BF1" w14:textId="732B97A2" w:rsidR="000D14AC" w:rsidRDefault="008F02EC" w:rsidP="007176EE">
      <w:pPr>
        <w:rPr>
          <w:b/>
        </w:rPr>
      </w:pPr>
      <w:r w:rsidRPr="008F02EC">
        <w:rPr>
          <w:b/>
          <w:noProof/>
        </w:rPr>
        <w:drawing>
          <wp:inline distT="0" distB="0" distL="0" distR="0" wp14:anchorId="6A650A39" wp14:editId="4FD09596">
            <wp:extent cx="5421547" cy="3253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812" t="7473" r="17103" b="11347"/>
                    <a:stretch/>
                  </pic:blipFill>
                  <pic:spPr bwMode="auto">
                    <a:xfrm>
                      <a:off x="0" y="0"/>
                      <a:ext cx="5433512" cy="3261057"/>
                    </a:xfrm>
                    <a:prstGeom prst="rect">
                      <a:avLst/>
                    </a:prstGeom>
                    <a:ln>
                      <a:noFill/>
                    </a:ln>
                    <a:extLst>
                      <a:ext uri="{53640926-AAD7-44D8-BBD7-CCE9431645EC}">
                        <a14:shadowObscured xmlns:a14="http://schemas.microsoft.com/office/drawing/2010/main"/>
                      </a:ext>
                    </a:extLst>
                  </pic:spPr>
                </pic:pic>
              </a:graphicData>
            </a:graphic>
          </wp:inline>
        </w:drawing>
      </w:r>
    </w:p>
    <w:p w14:paraId="0C5530D0" w14:textId="77777777" w:rsidR="000D14AC" w:rsidRDefault="000D14AC" w:rsidP="007176EE">
      <w:pPr>
        <w:rPr>
          <w:b/>
        </w:rPr>
      </w:pPr>
    </w:p>
    <w:p w14:paraId="71CFB017" w14:textId="77777777" w:rsidR="002D5317" w:rsidRDefault="002D5317" w:rsidP="007176EE">
      <w:pPr>
        <w:rPr>
          <w:b/>
        </w:rPr>
      </w:pPr>
    </w:p>
    <w:p w14:paraId="47A34868" w14:textId="77777777" w:rsidR="002D5317" w:rsidRDefault="002D5317" w:rsidP="007176EE">
      <w:pPr>
        <w:rPr>
          <w:b/>
        </w:rPr>
      </w:pPr>
    </w:p>
    <w:p w14:paraId="3B3E613F" w14:textId="517F1C60" w:rsidR="000D14AC" w:rsidRDefault="00145193" w:rsidP="007176EE">
      <w:pPr>
        <w:rPr>
          <w:b/>
        </w:rPr>
      </w:pPr>
      <w:r w:rsidRPr="00145193">
        <w:rPr>
          <w:b/>
          <w:noProof/>
        </w:rPr>
        <w:drawing>
          <wp:inline distT="0" distB="0" distL="0" distR="0" wp14:anchorId="14706B31" wp14:editId="5B4D2AFE">
            <wp:extent cx="5421547" cy="326745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666"/>
                    <a:stretch/>
                  </pic:blipFill>
                  <pic:spPr bwMode="auto">
                    <a:xfrm>
                      <a:off x="0" y="0"/>
                      <a:ext cx="5430289" cy="3272719"/>
                    </a:xfrm>
                    <a:prstGeom prst="rect">
                      <a:avLst/>
                    </a:prstGeom>
                    <a:ln>
                      <a:noFill/>
                    </a:ln>
                    <a:extLst>
                      <a:ext uri="{53640926-AAD7-44D8-BBD7-CCE9431645EC}">
                        <a14:shadowObscured xmlns:a14="http://schemas.microsoft.com/office/drawing/2010/main"/>
                      </a:ext>
                    </a:extLst>
                  </pic:spPr>
                </pic:pic>
              </a:graphicData>
            </a:graphic>
          </wp:inline>
        </w:drawing>
      </w:r>
    </w:p>
    <w:p w14:paraId="632584E0" w14:textId="3A773F4B" w:rsidR="00145193" w:rsidRDefault="00145193">
      <w:pPr>
        <w:rPr>
          <w:b/>
        </w:rPr>
      </w:pPr>
      <w:r>
        <w:rPr>
          <w:b/>
        </w:rPr>
        <w:br w:type="page"/>
      </w:r>
    </w:p>
    <w:p w14:paraId="0BC4051A" w14:textId="77777777" w:rsidR="000D14AC" w:rsidRDefault="000D14AC" w:rsidP="007176EE">
      <w:pPr>
        <w:rPr>
          <w:b/>
        </w:rPr>
      </w:pPr>
    </w:p>
    <w:p w14:paraId="31678128" w14:textId="77777777" w:rsidR="000D14AC" w:rsidRDefault="000D14AC" w:rsidP="007176EE">
      <w:pPr>
        <w:rPr>
          <w:b/>
        </w:rPr>
      </w:pPr>
    </w:p>
    <w:p w14:paraId="43072ADF" w14:textId="4284488D" w:rsidR="00A40A7E" w:rsidRPr="00EF4921" w:rsidRDefault="007176EE" w:rsidP="007176EE">
      <w:pPr>
        <w:rPr>
          <w:b/>
        </w:rPr>
      </w:pPr>
      <w:r>
        <w:rPr>
          <w:b/>
        </w:rPr>
        <w:t>Recruitment Costs/Return on Investment:</w:t>
      </w:r>
    </w:p>
    <w:tbl>
      <w:tblPr>
        <w:tblStyle w:val="TableGrid"/>
        <w:tblW w:w="8856" w:type="dxa"/>
        <w:tblLook w:val="04A0" w:firstRow="1" w:lastRow="0" w:firstColumn="1" w:lastColumn="0" w:noHBand="0" w:noVBand="1"/>
      </w:tblPr>
      <w:tblGrid>
        <w:gridCol w:w="1299"/>
        <w:gridCol w:w="2046"/>
        <w:gridCol w:w="3420"/>
        <w:gridCol w:w="2091"/>
      </w:tblGrid>
      <w:tr w:rsidR="00EF4921" w:rsidRPr="003F6D03" w14:paraId="68C21A30" w14:textId="42700070" w:rsidTr="00EF4921">
        <w:trPr>
          <w:trHeight w:val="305"/>
        </w:trPr>
        <w:tc>
          <w:tcPr>
            <w:tcW w:w="1299" w:type="dxa"/>
          </w:tcPr>
          <w:p w14:paraId="194B762C" w14:textId="076CC5A9" w:rsidR="00EF4921" w:rsidRPr="00F97DBC" w:rsidRDefault="00EF4921" w:rsidP="00A40A7E">
            <w:pPr>
              <w:jc w:val="center"/>
              <w:rPr>
                <w:color w:val="000000" w:themeColor="text1"/>
              </w:rPr>
            </w:pPr>
            <w:r w:rsidRPr="00F97DBC">
              <w:rPr>
                <w:color w:val="000000" w:themeColor="text1"/>
              </w:rPr>
              <w:t>Fiscal Year</w:t>
            </w:r>
          </w:p>
        </w:tc>
        <w:tc>
          <w:tcPr>
            <w:tcW w:w="2046" w:type="dxa"/>
          </w:tcPr>
          <w:p w14:paraId="60A5B470" w14:textId="77777777" w:rsidR="008F566D" w:rsidRDefault="00EF4921" w:rsidP="008F566D">
            <w:pPr>
              <w:jc w:val="center"/>
              <w:rPr>
                <w:color w:val="000000" w:themeColor="text1"/>
              </w:rPr>
            </w:pPr>
            <w:r w:rsidRPr="00F97DBC">
              <w:rPr>
                <w:color w:val="000000" w:themeColor="text1"/>
              </w:rPr>
              <w:t xml:space="preserve">Total </w:t>
            </w:r>
          </w:p>
          <w:p w14:paraId="7F0140FC" w14:textId="50082240" w:rsidR="00225FD8" w:rsidRPr="00F97DBC" w:rsidRDefault="00EF4921" w:rsidP="008F566D">
            <w:pPr>
              <w:jc w:val="center"/>
              <w:rPr>
                <w:color w:val="000000" w:themeColor="text1"/>
              </w:rPr>
            </w:pPr>
            <w:r w:rsidRPr="00F97DBC">
              <w:rPr>
                <w:color w:val="000000" w:themeColor="text1"/>
              </w:rPr>
              <w:t>Investment</w:t>
            </w:r>
          </w:p>
        </w:tc>
        <w:tc>
          <w:tcPr>
            <w:tcW w:w="3420" w:type="dxa"/>
          </w:tcPr>
          <w:p w14:paraId="62391935" w14:textId="7A2852A9" w:rsidR="00EF4921" w:rsidRPr="00EF4921" w:rsidRDefault="00EF4921" w:rsidP="00395F5B">
            <w:pPr>
              <w:jc w:val="center"/>
              <w:rPr>
                <w:color w:val="000000" w:themeColor="text1"/>
              </w:rPr>
            </w:pPr>
            <w:proofErr w:type="spellStart"/>
            <w:r w:rsidRPr="00EF4921">
              <w:rPr>
                <w:color w:val="000000" w:themeColor="text1"/>
              </w:rPr>
              <w:t>Nr</w:t>
            </w:r>
            <w:proofErr w:type="spellEnd"/>
            <w:r w:rsidRPr="00EF4921">
              <w:rPr>
                <w:color w:val="000000" w:themeColor="text1"/>
              </w:rPr>
              <w:t xml:space="preserve"> of New Recruited</w:t>
            </w:r>
            <w:r w:rsidRPr="00EF4921">
              <w:rPr>
                <w:rStyle w:val="FootnoteReference"/>
                <w:color w:val="000000" w:themeColor="text1"/>
              </w:rPr>
              <w:footnoteReference w:id="2"/>
            </w:r>
            <w:r w:rsidRPr="00EF4921">
              <w:rPr>
                <w:color w:val="000000" w:themeColor="text1"/>
              </w:rPr>
              <w:t xml:space="preserve"> Students </w:t>
            </w:r>
          </w:p>
          <w:p w14:paraId="55875678" w14:textId="77777777" w:rsidR="00EF4921" w:rsidRDefault="00EF4921" w:rsidP="00395F5B">
            <w:pPr>
              <w:jc w:val="center"/>
              <w:rPr>
                <w:color w:val="000000" w:themeColor="text1"/>
              </w:rPr>
            </w:pPr>
            <w:r w:rsidRPr="00EF4921">
              <w:rPr>
                <w:color w:val="000000" w:themeColor="text1"/>
              </w:rPr>
              <w:t xml:space="preserve">(for following </w:t>
            </w:r>
          </w:p>
          <w:p w14:paraId="6E26FCEE" w14:textId="440D2F9B" w:rsidR="00EF4921" w:rsidRPr="00EF4921" w:rsidRDefault="00EF4921" w:rsidP="00395F5B">
            <w:pPr>
              <w:jc w:val="center"/>
              <w:rPr>
                <w:color w:val="000000" w:themeColor="text1"/>
              </w:rPr>
            </w:pPr>
            <w:r w:rsidRPr="00EF4921">
              <w:rPr>
                <w:color w:val="000000" w:themeColor="text1"/>
              </w:rPr>
              <w:t>Summer and Fall)</w:t>
            </w:r>
          </w:p>
        </w:tc>
        <w:tc>
          <w:tcPr>
            <w:tcW w:w="2091" w:type="dxa"/>
          </w:tcPr>
          <w:p w14:paraId="440C3808" w14:textId="77777777" w:rsidR="00EF4921" w:rsidRDefault="00EF4921" w:rsidP="00395F5B">
            <w:pPr>
              <w:jc w:val="center"/>
              <w:rPr>
                <w:color w:val="000000" w:themeColor="text1"/>
              </w:rPr>
            </w:pPr>
            <w:r>
              <w:rPr>
                <w:color w:val="000000" w:themeColor="text1"/>
              </w:rPr>
              <w:t xml:space="preserve">Recruitment Cost per </w:t>
            </w:r>
          </w:p>
          <w:p w14:paraId="5DCD908B" w14:textId="0236C33B" w:rsidR="00EF4921" w:rsidRPr="00EF4921" w:rsidRDefault="00EF4921" w:rsidP="00395F5B">
            <w:pPr>
              <w:jc w:val="center"/>
              <w:rPr>
                <w:color w:val="000000" w:themeColor="text1"/>
              </w:rPr>
            </w:pPr>
            <w:r>
              <w:rPr>
                <w:color w:val="000000" w:themeColor="text1"/>
              </w:rPr>
              <w:t xml:space="preserve">New Student  </w:t>
            </w:r>
          </w:p>
        </w:tc>
      </w:tr>
      <w:tr w:rsidR="00EF4921" w:rsidRPr="003F6D03" w14:paraId="11B3B537" w14:textId="322F05C1" w:rsidTr="00EF4921">
        <w:tc>
          <w:tcPr>
            <w:tcW w:w="1299" w:type="dxa"/>
          </w:tcPr>
          <w:p w14:paraId="79739AA5" w14:textId="0946B2C0" w:rsidR="00EF4921" w:rsidRPr="00F97DBC" w:rsidRDefault="00EF4921" w:rsidP="00BC0F53">
            <w:pPr>
              <w:rPr>
                <w:color w:val="000000" w:themeColor="text1"/>
              </w:rPr>
            </w:pPr>
            <w:r w:rsidRPr="00F97DBC">
              <w:rPr>
                <w:color w:val="000000" w:themeColor="text1"/>
              </w:rPr>
              <w:t>FY 14</w:t>
            </w:r>
          </w:p>
        </w:tc>
        <w:tc>
          <w:tcPr>
            <w:tcW w:w="2046" w:type="dxa"/>
          </w:tcPr>
          <w:p w14:paraId="6300ABC4" w14:textId="7139EFDF" w:rsidR="00EF4921" w:rsidRPr="00F97DBC" w:rsidRDefault="00EF4921" w:rsidP="00BC0F53">
            <w:pPr>
              <w:rPr>
                <w:color w:val="000000" w:themeColor="text1"/>
              </w:rPr>
            </w:pPr>
            <w:r w:rsidRPr="00F97DBC">
              <w:rPr>
                <w:color w:val="000000" w:themeColor="text1"/>
              </w:rPr>
              <w:t>$150,000</w:t>
            </w:r>
          </w:p>
        </w:tc>
        <w:tc>
          <w:tcPr>
            <w:tcW w:w="3420" w:type="dxa"/>
          </w:tcPr>
          <w:p w14:paraId="2BCA79E9" w14:textId="1D7B737B" w:rsidR="00EF4921" w:rsidRPr="00EF4921" w:rsidRDefault="00EF4921" w:rsidP="00EF4921">
            <w:pPr>
              <w:rPr>
                <w:color w:val="000000" w:themeColor="text1"/>
              </w:rPr>
            </w:pPr>
            <w:r w:rsidRPr="00EF4921">
              <w:rPr>
                <w:color w:val="000000" w:themeColor="text1"/>
              </w:rPr>
              <w:t>279</w:t>
            </w:r>
            <w:r w:rsidRPr="00EF4921">
              <w:rPr>
                <w:rStyle w:val="FootnoteReference"/>
                <w:color w:val="000000" w:themeColor="text1"/>
              </w:rPr>
              <w:footnoteReference w:id="3"/>
            </w:r>
          </w:p>
        </w:tc>
        <w:tc>
          <w:tcPr>
            <w:tcW w:w="2091" w:type="dxa"/>
          </w:tcPr>
          <w:p w14:paraId="50FC8E1C" w14:textId="559D3971" w:rsidR="00EF4921" w:rsidRPr="00EF4921" w:rsidRDefault="00EF4921" w:rsidP="00EF4921">
            <w:pPr>
              <w:rPr>
                <w:color w:val="000000" w:themeColor="text1"/>
              </w:rPr>
            </w:pPr>
            <w:r>
              <w:rPr>
                <w:color w:val="000000" w:themeColor="text1"/>
              </w:rPr>
              <w:t>$</w:t>
            </w:r>
            <w:r w:rsidR="009842F4">
              <w:rPr>
                <w:color w:val="000000" w:themeColor="text1"/>
              </w:rPr>
              <w:t xml:space="preserve">   </w:t>
            </w:r>
            <w:r>
              <w:rPr>
                <w:color w:val="000000" w:themeColor="text1"/>
              </w:rPr>
              <w:t>538</w:t>
            </w:r>
          </w:p>
        </w:tc>
      </w:tr>
      <w:tr w:rsidR="00EF4921" w:rsidRPr="003F6D03" w14:paraId="775FACE5" w14:textId="03E4AF94" w:rsidTr="00EF4921">
        <w:tc>
          <w:tcPr>
            <w:tcW w:w="1299" w:type="dxa"/>
          </w:tcPr>
          <w:p w14:paraId="363BC317" w14:textId="55FB5D09" w:rsidR="00EF4921" w:rsidRPr="00F97DBC" w:rsidRDefault="00EF4921" w:rsidP="00BC0F53">
            <w:pPr>
              <w:rPr>
                <w:color w:val="000000" w:themeColor="text1"/>
              </w:rPr>
            </w:pPr>
            <w:r w:rsidRPr="00F97DBC">
              <w:rPr>
                <w:color w:val="000000" w:themeColor="text1"/>
              </w:rPr>
              <w:t>FY 15</w:t>
            </w:r>
          </w:p>
        </w:tc>
        <w:tc>
          <w:tcPr>
            <w:tcW w:w="2046" w:type="dxa"/>
          </w:tcPr>
          <w:p w14:paraId="2DB82778" w14:textId="53FBF9E2" w:rsidR="00EF4921" w:rsidRPr="00F97DBC" w:rsidRDefault="00EF4921" w:rsidP="00BC0F53">
            <w:pPr>
              <w:rPr>
                <w:color w:val="000000" w:themeColor="text1"/>
              </w:rPr>
            </w:pPr>
            <w:r w:rsidRPr="00F97DBC">
              <w:rPr>
                <w:color w:val="000000" w:themeColor="text1"/>
              </w:rPr>
              <w:t>$140,000</w:t>
            </w:r>
          </w:p>
        </w:tc>
        <w:tc>
          <w:tcPr>
            <w:tcW w:w="3420" w:type="dxa"/>
          </w:tcPr>
          <w:p w14:paraId="0CCEDF78" w14:textId="5A6316AC" w:rsidR="00EF4921" w:rsidRPr="00EF4921" w:rsidRDefault="00EF4921" w:rsidP="008F566D">
            <w:pPr>
              <w:rPr>
                <w:color w:val="000000" w:themeColor="text1"/>
              </w:rPr>
            </w:pPr>
            <w:r w:rsidRPr="00EF4921">
              <w:rPr>
                <w:color w:val="000000" w:themeColor="text1"/>
              </w:rPr>
              <w:t>119</w:t>
            </w:r>
            <w:r w:rsidR="00225FD8">
              <w:rPr>
                <w:color w:val="000000" w:themeColor="text1"/>
              </w:rPr>
              <w:t xml:space="preserve">     </w:t>
            </w:r>
          </w:p>
        </w:tc>
        <w:tc>
          <w:tcPr>
            <w:tcW w:w="2091" w:type="dxa"/>
          </w:tcPr>
          <w:p w14:paraId="7730675A" w14:textId="09EC5074" w:rsidR="00EF4921" w:rsidRPr="00EF4921" w:rsidRDefault="00EF4921" w:rsidP="00EF4921">
            <w:pPr>
              <w:rPr>
                <w:color w:val="000000" w:themeColor="text1"/>
              </w:rPr>
            </w:pPr>
            <w:r>
              <w:rPr>
                <w:color w:val="000000" w:themeColor="text1"/>
              </w:rPr>
              <w:t>$1,176</w:t>
            </w:r>
          </w:p>
        </w:tc>
      </w:tr>
      <w:tr w:rsidR="00EF4921" w:rsidRPr="003F6D03" w14:paraId="36464AD3" w14:textId="16F9D671" w:rsidTr="00EF4921">
        <w:tc>
          <w:tcPr>
            <w:tcW w:w="1299" w:type="dxa"/>
          </w:tcPr>
          <w:p w14:paraId="2C78D723" w14:textId="043F1F2C" w:rsidR="00EF4921" w:rsidRPr="00F97DBC" w:rsidRDefault="00EF4921" w:rsidP="00BC0F53">
            <w:pPr>
              <w:rPr>
                <w:color w:val="000000" w:themeColor="text1"/>
              </w:rPr>
            </w:pPr>
            <w:r w:rsidRPr="00F97DBC">
              <w:rPr>
                <w:color w:val="000000" w:themeColor="text1"/>
              </w:rPr>
              <w:t>FY 16</w:t>
            </w:r>
          </w:p>
        </w:tc>
        <w:tc>
          <w:tcPr>
            <w:tcW w:w="2046" w:type="dxa"/>
          </w:tcPr>
          <w:p w14:paraId="32E21CA0" w14:textId="01DFB9CA" w:rsidR="00EF4921" w:rsidRPr="00F97DBC" w:rsidRDefault="00EF4921" w:rsidP="00BC0F53">
            <w:pPr>
              <w:rPr>
                <w:color w:val="000000" w:themeColor="text1"/>
              </w:rPr>
            </w:pPr>
            <w:r w:rsidRPr="00F97DBC">
              <w:rPr>
                <w:color w:val="000000" w:themeColor="text1"/>
              </w:rPr>
              <w:t>$126,000</w:t>
            </w:r>
          </w:p>
        </w:tc>
        <w:tc>
          <w:tcPr>
            <w:tcW w:w="3420" w:type="dxa"/>
          </w:tcPr>
          <w:p w14:paraId="277107D5" w14:textId="1B6577D5" w:rsidR="00EF4921" w:rsidRPr="00EF4921" w:rsidRDefault="00EF4921" w:rsidP="00EF4921">
            <w:pPr>
              <w:rPr>
                <w:color w:val="000000" w:themeColor="text1"/>
              </w:rPr>
            </w:pPr>
            <w:r w:rsidRPr="00EF4921">
              <w:rPr>
                <w:color w:val="000000" w:themeColor="text1"/>
              </w:rPr>
              <w:t>10</w:t>
            </w:r>
            <w:r w:rsidR="00991ACB">
              <w:rPr>
                <w:color w:val="000000" w:themeColor="text1"/>
              </w:rPr>
              <w:t>5</w:t>
            </w:r>
            <w:r w:rsidR="00E8338D">
              <w:rPr>
                <w:color w:val="000000" w:themeColor="text1"/>
              </w:rPr>
              <w:t xml:space="preserve"> </w:t>
            </w:r>
            <w:r w:rsidR="008F566D">
              <w:rPr>
                <w:color w:val="000000" w:themeColor="text1"/>
              </w:rPr>
              <w:t xml:space="preserve"> </w:t>
            </w:r>
          </w:p>
        </w:tc>
        <w:tc>
          <w:tcPr>
            <w:tcW w:w="2091" w:type="dxa"/>
          </w:tcPr>
          <w:p w14:paraId="09A47283" w14:textId="7CBF6859" w:rsidR="00EF4921" w:rsidRPr="00EF4921" w:rsidRDefault="00EF4921" w:rsidP="00EF4921">
            <w:pPr>
              <w:rPr>
                <w:color w:val="000000" w:themeColor="text1"/>
              </w:rPr>
            </w:pPr>
            <w:r>
              <w:rPr>
                <w:color w:val="000000" w:themeColor="text1"/>
              </w:rPr>
              <w:t>$1,2</w:t>
            </w:r>
            <w:r w:rsidR="00991ACB">
              <w:rPr>
                <w:color w:val="000000" w:themeColor="text1"/>
              </w:rPr>
              <w:t>00</w:t>
            </w:r>
          </w:p>
        </w:tc>
      </w:tr>
      <w:tr w:rsidR="00EF4921" w:rsidRPr="003F6D03" w14:paraId="3FC5C1D9" w14:textId="04C9CDAE" w:rsidTr="00EF4921">
        <w:tc>
          <w:tcPr>
            <w:tcW w:w="1299" w:type="dxa"/>
          </w:tcPr>
          <w:p w14:paraId="41B14F54" w14:textId="1711CCE1" w:rsidR="00EF4921" w:rsidRPr="00F97DBC" w:rsidRDefault="00EF4921" w:rsidP="00BC0F53">
            <w:pPr>
              <w:rPr>
                <w:color w:val="000000" w:themeColor="text1"/>
              </w:rPr>
            </w:pPr>
            <w:r w:rsidRPr="00F97DBC">
              <w:rPr>
                <w:color w:val="000000" w:themeColor="text1"/>
              </w:rPr>
              <w:t>FY 17</w:t>
            </w:r>
          </w:p>
        </w:tc>
        <w:tc>
          <w:tcPr>
            <w:tcW w:w="2046" w:type="dxa"/>
          </w:tcPr>
          <w:p w14:paraId="4A3D18B7" w14:textId="52F9B5EE" w:rsidR="00EF4921" w:rsidRPr="00F97DBC" w:rsidRDefault="00EF4921" w:rsidP="00BC0F53">
            <w:pPr>
              <w:rPr>
                <w:color w:val="000000" w:themeColor="text1"/>
              </w:rPr>
            </w:pPr>
            <w:r w:rsidRPr="00F97DBC">
              <w:rPr>
                <w:color w:val="000000" w:themeColor="text1"/>
              </w:rPr>
              <w:t>$117,000</w:t>
            </w:r>
          </w:p>
        </w:tc>
        <w:tc>
          <w:tcPr>
            <w:tcW w:w="3420" w:type="dxa"/>
          </w:tcPr>
          <w:p w14:paraId="24E9FE19" w14:textId="20B2F941" w:rsidR="00EF4921" w:rsidRPr="00EF4921" w:rsidRDefault="00EF4921" w:rsidP="00EF4921">
            <w:pPr>
              <w:rPr>
                <w:color w:val="000000" w:themeColor="text1"/>
              </w:rPr>
            </w:pPr>
            <w:r>
              <w:rPr>
                <w:color w:val="000000" w:themeColor="text1"/>
              </w:rPr>
              <w:t>100 (estimate)</w:t>
            </w:r>
          </w:p>
        </w:tc>
        <w:tc>
          <w:tcPr>
            <w:tcW w:w="2091" w:type="dxa"/>
          </w:tcPr>
          <w:p w14:paraId="4CE447A1" w14:textId="4564BA60" w:rsidR="00EF4921" w:rsidRPr="00EF4921" w:rsidRDefault="00EF4921" w:rsidP="00EF4921">
            <w:pPr>
              <w:rPr>
                <w:color w:val="000000" w:themeColor="text1"/>
              </w:rPr>
            </w:pPr>
            <w:r>
              <w:rPr>
                <w:color w:val="000000" w:themeColor="text1"/>
              </w:rPr>
              <w:t>$1,170 (estimate)</w:t>
            </w:r>
          </w:p>
        </w:tc>
      </w:tr>
    </w:tbl>
    <w:p w14:paraId="2D9902EB" w14:textId="47B04199" w:rsidR="00A40A7E" w:rsidRDefault="00A40A7E" w:rsidP="00017AC8"/>
    <w:p w14:paraId="7A052250" w14:textId="7A046BC1" w:rsidR="00D064E4" w:rsidRPr="00F862EC" w:rsidRDefault="00D064E4" w:rsidP="00017AC8">
      <w:pPr>
        <w:rPr>
          <w:b/>
        </w:rPr>
      </w:pPr>
      <w:r w:rsidRPr="00F862EC">
        <w:rPr>
          <w:b/>
        </w:rPr>
        <w:t>Total enrollment of international students at UM (Fall ‘16)</w:t>
      </w:r>
    </w:p>
    <w:p w14:paraId="53EB9452" w14:textId="5E5E8F20" w:rsidR="00BC0F53" w:rsidRPr="007176EE" w:rsidRDefault="00D064E4" w:rsidP="007176EE">
      <w:r>
        <w:t>- 652 (non-US Citizens, includes Permanent Residents)</w:t>
      </w:r>
      <w:r w:rsidR="00F47EDA">
        <w:t xml:space="preserve"> total intern</w:t>
      </w:r>
      <w:r w:rsidR="00620B73">
        <w:t>ational students enrolled at UM</w:t>
      </w:r>
      <w:r w:rsidR="00C03D74">
        <w:t xml:space="preserve"> in the Fall Semester of 2016 (official count),</w:t>
      </w:r>
      <w:r w:rsidR="00017AC8">
        <w:t xml:space="preserve"> gener</w:t>
      </w:r>
      <w:r w:rsidR="008C0D75">
        <w:t xml:space="preserve">ating an </w:t>
      </w:r>
      <w:r w:rsidR="00BC7300">
        <w:t xml:space="preserve">estimated </w:t>
      </w:r>
      <w:r w:rsidR="00620B73">
        <w:t xml:space="preserve">economic impact </w:t>
      </w:r>
      <w:r w:rsidR="00017AC8">
        <w:t xml:space="preserve">of </w:t>
      </w:r>
      <w:r w:rsidR="00BC7300">
        <w:t>$18,964,072</w:t>
      </w:r>
      <w:r w:rsidR="00F862EC">
        <w:t xml:space="preserve"> </w:t>
      </w:r>
      <w:r w:rsidR="00620B73">
        <w:t>to the State of</w:t>
      </w:r>
      <w:r w:rsidR="00F862EC">
        <w:t xml:space="preserve"> Montana</w:t>
      </w:r>
      <w:r w:rsidR="00BC7300">
        <w:t xml:space="preserve"> during AY16/17</w:t>
      </w:r>
      <w:r w:rsidR="00F862EC">
        <w:rPr>
          <w:rStyle w:val="FootnoteReference"/>
        </w:rPr>
        <w:footnoteReference w:id="4"/>
      </w:r>
      <w:r w:rsidR="00800F16">
        <w:t>.</w:t>
      </w:r>
    </w:p>
    <w:p w14:paraId="5A4E1CAA" w14:textId="77777777" w:rsidR="00D064E4" w:rsidRDefault="00D064E4" w:rsidP="00BC0F53">
      <w:pPr>
        <w:pBdr>
          <w:bottom w:val="single" w:sz="4" w:space="1" w:color="auto"/>
        </w:pBdr>
        <w:rPr>
          <w:b/>
        </w:rPr>
      </w:pPr>
    </w:p>
    <w:p w14:paraId="38810ADF" w14:textId="77777777" w:rsidR="007176EE" w:rsidRPr="00A40A7E" w:rsidRDefault="007176EE" w:rsidP="00BC0F53">
      <w:pPr>
        <w:pBdr>
          <w:bottom w:val="single" w:sz="4" w:space="1" w:color="auto"/>
        </w:pBdr>
        <w:rPr>
          <w:b/>
        </w:rPr>
      </w:pPr>
    </w:p>
    <w:p w14:paraId="1E23E062" w14:textId="3298E60D" w:rsidR="00B65B0D" w:rsidRPr="002D5317" w:rsidRDefault="007E6460" w:rsidP="002D5317">
      <w:pPr>
        <w:pStyle w:val="ListParagraph"/>
        <w:numPr>
          <w:ilvl w:val="0"/>
          <w:numId w:val="21"/>
        </w:numPr>
        <w:pBdr>
          <w:bottom w:val="single" w:sz="4" w:space="1" w:color="auto"/>
        </w:pBdr>
        <w:ind w:left="360"/>
        <w:rPr>
          <w:b/>
          <w:sz w:val="28"/>
        </w:rPr>
      </w:pPr>
      <w:r w:rsidRPr="002D5317">
        <w:rPr>
          <w:b/>
          <w:sz w:val="28"/>
        </w:rPr>
        <w:t xml:space="preserve">2016-2017 </w:t>
      </w:r>
      <w:r w:rsidR="007176EE" w:rsidRPr="002D5317">
        <w:rPr>
          <w:b/>
          <w:sz w:val="28"/>
        </w:rPr>
        <w:t xml:space="preserve">UM </w:t>
      </w:r>
      <w:r w:rsidRPr="002D5317">
        <w:rPr>
          <w:b/>
          <w:sz w:val="28"/>
        </w:rPr>
        <w:t xml:space="preserve">International Recruitment </w:t>
      </w:r>
      <w:r w:rsidR="00994BED" w:rsidRPr="002D5317">
        <w:rPr>
          <w:b/>
          <w:sz w:val="28"/>
        </w:rPr>
        <w:t>Plan</w:t>
      </w:r>
    </w:p>
    <w:p w14:paraId="4B257AC3" w14:textId="77777777" w:rsidR="002D5317" w:rsidRDefault="002D5317" w:rsidP="0092006F">
      <w:pPr>
        <w:rPr>
          <w:b/>
          <w:color w:val="0070C0"/>
        </w:rPr>
      </w:pPr>
    </w:p>
    <w:p w14:paraId="510D874C" w14:textId="7A047CA6" w:rsidR="009F7E61" w:rsidRDefault="000947C5" w:rsidP="0092006F">
      <w:pPr>
        <w:rPr>
          <w:b/>
          <w:color w:val="0070C0"/>
        </w:rPr>
      </w:pPr>
      <w:r w:rsidRPr="00A40A7E">
        <w:rPr>
          <w:b/>
          <w:color w:val="0070C0"/>
        </w:rPr>
        <w:t>Priority Markets</w:t>
      </w:r>
      <w:r w:rsidR="00145193">
        <w:rPr>
          <w:rStyle w:val="FootnoteReference"/>
          <w:b/>
          <w:color w:val="0070C0"/>
        </w:rPr>
        <w:footnoteReference w:id="5"/>
      </w:r>
      <w:r w:rsidR="009F7E61">
        <w:rPr>
          <w:b/>
          <w:color w:val="0070C0"/>
        </w:rPr>
        <w:t>: Country (expected number of applications generated)</w:t>
      </w:r>
    </w:p>
    <w:p w14:paraId="65B64C68" w14:textId="77777777" w:rsidR="00C10C29" w:rsidRPr="00C10C29" w:rsidRDefault="00C10C29" w:rsidP="00C10C29">
      <w:pPr>
        <w:pStyle w:val="ListParagraph"/>
        <w:numPr>
          <w:ilvl w:val="0"/>
          <w:numId w:val="16"/>
        </w:numPr>
        <w:rPr>
          <w:color w:val="000000" w:themeColor="text1"/>
        </w:rPr>
      </w:pPr>
      <w:r w:rsidRPr="00C10C29">
        <w:rPr>
          <w:color w:val="000000" w:themeColor="text1"/>
        </w:rPr>
        <w:t>Japan (50)</w:t>
      </w:r>
    </w:p>
    <w:p w14:paraId="43847C43" w14:textId="70744882" w:rsidR="009F7E61" w:rsidRPr="00C10C29" w:rsidRDefault="000947C5" w:rsidP="003F6D03">
      <w:pPr>
        <w:pStyle w:val="ListParagraph"/>
        <w:numPr>
          <w:ilvl w:val="0"/>
          <w:numId w:val="16"/>
        </w:numPr>
        <w:rPr>
          <w:b/>
          <w:color w:val="000000" w:themeColor="text1"/>
        </w:rPr>
      </w:pPr>
      <w:r w:rsidRPr="00C10C29">
        <w:rPr>
          <w:color w:val="000000" w:themeColor="text1"/>
        </w:rPr>
        <w:t>Nepal</w:t>
      </w:r>
      <w:r w:rsidR="00F47EDA" w:rsidRPr="00C10C29">
        <w:rPr>
          <w:color w:val="000000" w:themeColor="text1"/>
        </w:rPr>
        <w:t xml:space="preserve"> (30</w:t>
      </w:r>
      <w:r w:rsidR="009F7E61" w:rsidRPr="00C10C29">
        <w:rPr>
          <w:color w:val="000000" w:themeColor="text1"/>
        </w:rPr>
        <w:t>)</w:t>
      </w:r>
    </w:p>
    <w:p w14:paraId="1E2A8E03" w14:textId="77777777" w:rsidR="00C10C29" w:rsidRPr="00C10C29" w:rsidRDefault="00C10C29" w:rsidP="00C10C29">
      <w:pPr>
        <w:pStyle w:val="ListParagraph"/>
        <w:numPr>
          <w:ilvl w:val="0"/>
          <w:numId w:val="16"/>
        </w:numPr>
        <w:rPr>
          <w:b/>
          <w:color w:val="000000" w:themeColor="text1"/>
        </w:rPr>
      </w:pPr>
      <w:r w:rsidRPr="00C10C29">
        <w:rPr>
          <w:color w:val="000000" w:themeColor="text1"/>
        </w:rPr>
        <w:t>Indonesia (15)</w:t>
      </w:r>
    </w:p>
    <w:p w14:paraId="6196D1D8" w14:textId="77777777" w:rsidR="00C10C29" w:rsidRPr="00C10C29" w:rsidRDefault="00C10C29" w:rsidP="00C10C29">
      <w:pPr>
        <w:pStyle w:val="ListParagraph"/>
        <w:numPr>
          <w:ilvl w:val="0"/>
          <w:numId w:val="16"/>
        </w:numPr>
        <w:rPr>
          <w:b/>
          <w:color w:val="000000" w:themeColor="text1"/>
        </w:rPr>
      </w:pPr>
      <w:r w:rsidRPr="00C10C29">
        <w:rPr>
          <w:color w:val="000000" w:themeColor="text1"/>
        </w:rPr>
        <w:t>Malaysia (15)</w:t>
      </w:r>
    </w:p>
    <w:p w14:paraId="5F75E335" w14:textId="77777777" w:rsidR="00C10C29" w:rsidRPr="00C10C29" w:rsidRDefault="00C10C29" w:rsidP="00C10C29">
      <w:pPr>
        <w:pStyle w:val="ListParagraph"/>
        <w:numPr>
          <w:ilvl w:val="0"/>
          <w:numId w:val="16"/>
        </w:numPr>
        <w:rPr>
          <w:color w:val="000000" w:themeColor="text1"/>
        </w:rPr>
      </w:pPr>
      <w:r w:rsidRPr="00C10C29">
        <w:rPr>
          <w:color w:val="000000" w:themeColor="text1"/>
        </w:rPr>
        <w:t>Vietnam (12)</w:t>
      </w:r>
    </w:p>
    <w:p w14:paraId="633481DD" w14:textId="7066E036" w:rsidR="009F7E61" w:rsidRPr="00C10C29" w:rsidRDefault="009F7E61" w:rsidP="003F6D03">
      <w:pPr>
        <w:pStyle w:val="ListParagraph"/>
        <w:numPr>
          <w:ilvl w:val="0"/>
          <w:numId w:val="16"/>
        </w:numPr>
        <w:rPr>
          <w:b/>
          <w:color w:val="000000" w:themeColor="text1"/>
        </w:rPr>
      </w:pPr>
      <w:r w:rsidRPr="00C10C29">
        <w:rPr>
          <w:color w:val="000000" w:themeColor="text1"/>
        </w:rPr>
        <w:t>Thailand (8)</w:t>
      </w:r>
    </w:p>
    <w:p w14:paraId="703482F9" w14:textId="4E8A1243" w:rsidR="009F7E61" w:rsidRPr="00C10C29" w:rsidRDefault="009F7E61" w:rsidP="003F6D03">
      <w:pPr>
        <w:pStyle w:val="ListParagraph"/>
        <w:numPr>
          <w:ilvl w:val="0"/>
          <w:numId w:val="16"/>
        </w:numPr>
        <w:rPr>
          <w:color w:val="000000" w:themeColor="text1"/>
        </w:rPr>
      </w:pPr>
      <w:r w:rsidRPr="00C10C29">
        <w:rPr>
          <w:color w:val="000000" w:themeColor="text1"/>
        </w:rPr>
        <w:t>Myanmar (5)</w:t>
      </w:r>
    </w:p>
    <w:p w14:paraId="758BDFEC" w14:textId="622E205D" w:rsidR="005D59D1" w:rsidRPr="00BC7300" w:rsidRDefault="003E695A" w:rsidP="00BC7300">
      <w:pPr>
        <w:pStyle w:val="ListParagraph"/>
        <w:numPr>
          <w:ilvl w:val="0"/>
          <w:numId w:val="16"/>
        </w:numPr>
        <w:rPr>
          <w:b/>
          <w:color w:val="000000" w:themeColor="text1"/>
        </w:rPr>
      </w:pPr>
      <w:r w:rsidRPr="00C10C29">
        <w:rPr>
          <w:color w:val="000000" w:themeColor="text1"/>
        </w:rPr>
        <w:t>Russia (5)</w:t>
      </w:r>
      <w:r w:rsidR="00145193">
        <w:rPr>
          <w:color w:val="000000" w:themeColor="text1"/>
        </w:rPr>
        <w:t xml:space="preserve"> </w:t>
      </w:r>
    </w:p>
    <w:p w14:paraId="6280E77C" w14:textId="1875EF67" w:rsidR="000947C5" w:rsidRDefault="009F7E61" w:rsidP="003F6D03">
      <w:pPr>
        <w:ind w:left="360"/>
      </w:pPr>
      <w:r>
        <w:t>Total numbe</w:t>
      </w:r>
      <w:r w:rsidR="005B052A">
        <w:t xml:space="preserve">r of applications expected </w:t>
      </w:r>
      <w:r w:rsidR="005D59D1">
        <w:t xml:space="preserve">from these 8 countries </w:t>
      </w:r>
      <w:r w:rsidR="005B052A">
        <w:t>= 140</w:t>
      </w:r>
    </w:p>
    <w:p w14:paraId="53A66D67" w14:textId="10B2364B" w:rsidR="009F7E61" w:rsidRDefault="009F7E61" w:rsidP="003F6D03">
      <w:pPr>
        <w:ind w:left="360"/>
      </w:pPr>
      <w:r>
        <w:t xml:space="preserve">Enrollment Ratio in Fall 2016 (Apps to Enrolled) = </w:t>
      </w:r>
      <w:r w:rsidR="00AF4D30">
        <w:rPr>
          <w:color w:val="000000" w:themeColor="text1"/>
        </w:rPr>
        <w:t>38</w:t>
      </w:r>
      <w:r w:rsidRPr="006820E2">
        <w:rPr>
          <w:color w:val="000000" w:themeColor="text1"/>
        </w:rPr>
        <w:t>%</w:t>
      </w:r>
      <w:r w:rsidR="00C849BE">
        <w:rPr>
          <w:rStyle w:val="FootnoteReference"/>
          <w:color w:val="000000" w:themeColor="text1"/>
        </w:rPr>
        <w:footnoteReference w:id="6"/>
      </w:r>
    </w:p>
    <w:p w14:paraId="2E8433B8" w14:textId="7626A626" w:rsidR="009F7E61" w:rsidRDefault="009F7E61" w:rsidP="003F6D03">
      <w:pPr>
        <w:ind w:left="360"/>
      </w:pPr>
      <w:r>
        <w:t xml:space="preserve">Estimated number of students enrolled in Fall ’17 </w:t>
      </w:r>
      <w:r w:rsidR="008A78B3">
        <w:t>from 140</w:t>
      </w:r>
      <w:r>
        <w:t xml:space="preserve"> apps = </w:t>
      </w:r>
      <w:r w:rsidR="004F04DF">
        <w:t>53</w:t>
      </w:r>
    </w:p>
    <w:p w14:paraId="3377E3B7" w14:textId="54F63DD4" w:rsidR="007176EE" w:rsidRDefault="00E43AC1" w:rsidP="00BC7300">
      <w:pPr>
        <w:ind w:left="360"/>
        <w:rPr>
          <w:b/>
        </w:rPr>
      </w:pPr>
      <w:r w:rsidRPr="00E94901">
        <w:rPr>
          <w:b/>
        </w:rPr>
        <w:t xml:space="preserve">Tuition </w:t>
      </w:r>
      <w:r w:rsidR="00E94901" w:rsidRPr="00E94901">
        <w:rPr>
          <w:b/>
        </w:rPr>
        <w:t xml:space="preserve">&amp; Fees </w:t>
      </w:r>
      <w:r w:rsidRPr="00E94901">
        <w:rPr>
          <w:b/>
        </w:rPr>
        <w:t>generated by the</w:t>
      </w:r>
      <w:r w:rsidR="00E94901" w:rsidRPr="00E94901">
        <w:rPr>
          <w:b/>
        </w:rPr>
        <w:t xml:space="preserve">se </w:t>
      </w:r>
      <w:r w:rsidR="00E94901">
        <w:rPr>
          <w:b/>
        </w:rPr>
        <w:t xml:space="preserve">53 </w:t>
      </w:r>
      <w:r w:rsidR="00E94901" w:rsidRPr="00E94901">
        <w:rPr>
          <w:b/>
        </w:rPr>
        <w:t>students</w:t>
      </w:r>
      <w:r w:rsidR="00AF4D30">
        <w:rPr>
          <w:b/>
        </w:rPr>
        <w:t>,</w:t>
      </w:r>
      <w:r w:rsidRPr="00E94901">
        <w:rPr>
          <w:b/>
        </w:rPr>
        <w:t xml:space="preserve"> </w:t>
      </w:r>
      <w:r w:rsidR="00AF4D30">
        <w:rPr>
          <w:b/>
        </w:rPr>
        <w:t xml:space="preserve">1 year </w:t>
      </w:r>
      <w:r w:rsidRPr="00E94901">
        <w:rPr>
          <w:b/>
        </w:rPr>
        <w:t>= $</w:t>
      </w:r>
      <w:r w:rsidR="004F04DF" w:rsidRPr="00E94901">
        <w:rPr>
          <w:b/>
        </w:rPr>
        <w:t>1,258,273</w:t>
      </w:r>
    </w:p>
    <w:p w14:paraId="0737D5EB" w14:textId="77777777" w:rsidR="008E2AF7" w:rsidRPr="00E94901" w:rsidRDefault="008E2AF7" w:rsidP="00BC7300">
      <w:pPr>
        <w:ind w:left="360"/>
        <w:rPr>
          <w:b/>
        </w:rPr>
      </w:pPr>
    </w:p>
    <w:p w14:paraId="1967A712" w14:textId="77777777" w:rsidR="007176EE" w:rsidRPr="00A40A7E" w:rsidRDefault="007176EE" w:rsidP="0092006F"/>
    <w:p w14:paraId="67230DF8" w14:textId="33A710F1" w:rsidR="00F16694" w:rsidRPr="003F6D03" w:rsidRDefault="00F16694" w:rsidP="002D5317">
      <w:pPr>
        <w:rPr>
          <w:b/>
          <w:color w:val="0070C0"/>
        </w:rPr>
      </w:pPr>
      <w:r w:rsidRPr="00A40A7E">
        <w:rPr>
          <w:b/>
          <w:color w:val="0070C0"/>
        </w:rPr>
        <w:t>Marketing/Promotional Materials</w:t>
      </w:r>
    </w:p>
    <w:p w14:paraId="798110BF" w14:textId="006EA47D" w:rsidR="00AF1B7D" w:rsidRPr="00A40A7E" w:rsidRDefault="00CA4E0F" w:rsidP="002D5317">
      <w:pPr>
        <w:pStyle w:val="ListParagraph"/>
        <w:numPr>
          <w:ilvl w:val="0"/>
          <w:numId w:val="23"/>
        </w:numPr>
      </w:pPr>
      <w:r w:rsidRPr="00A40A7E">
        <w:t xml:space="preserve">Development &amp; </w:t>
      </w:r>
      <w:r w:rsidR="00F524A3" w:rsidRPr="00A40A7E">
        <w:t>integration of Study in USA ad campaign and profiles</w:t>
      </w:r>
      <w:r w:rsidRPr="00A40A7E">
        <w:t xml:space="preserve"> (in progress) </w:t>
      </w:r>
    </w:p>
    <w:p w14:paraId="106509A2" w14:textId="1FA7AD84" w:rsidR="00CA4E0F" w:rsidRPr="00A40A7E" w:rsidRDefault="008E2AF7" w:rsidP="002D5317">
      <w:pPr>
        <w:pStyle w:val="ListParagraph"/>
        <w:numPr>
          <w:ilvl w:val="0"/>
          <w:numId w:val="23"/>
        </w:numPr>
      </w:pPr>
      <w:r>
        <w:t xml:space="preserve">Overhaul of Website </w:t>
      </w:r>
      <w:r w:rsidR="00CA4E0F" w:rsidRPr="00A40A7E">
        <w:t>(completed November 2016)</w:t>
      </w:r>
    </w:p>
    <w:p w14:paraId="41D97266" w14:textId="12A4CF67" w:rsidR="00F524A3" w:rsidRPr="00A40A7E" w:rsidRDefault="008A78B3" w:rsidP="002D5317">
      <w:pPr>
        <w:pStyle w:val="ListParagraph"/>
        <w:numPr>
          <w:ilvl w:val="0"/>
          <w:numId w:val="23"/>
        </w:numPr>
      </w:pPr>
      <w:r>
        <w:t xml:space="preserve">Printing of </w:t>
      </w:r>
      <w:r w:rsidR="00CA4E0F" w:rsidRPr="00A40A7E">
        <w:t xml:space="preserve">promotional materials in SE Asia </w:t>
      </w:r>
      <w:r w:rsidR="00F524A3" w:rsidRPr="00A40A7E">
        <w:t>to reduce production and shipping costs</w:t>
      </w:r>
      <w:r w:rsidR="00AE443F">
        <w:t xml:space="preserve"> (</w:t>
      </w:r>
      <w:r w:rsidR="00CA4E0F" w:rsidRPr="00A40A7E">
        <w:t>in progress)</w:t>
      </w:r>
    </w:p>
    <w:p w14:paraId="2804D787" w14:textId="133FC3E8" w:rsidR="00F524A3" w:rsidRPr="00A40A7E" w:rsidRDefault="00F524A3" w:rsidP="002D5317">
      <w:pPr>
        <w:pStyle w:val="ListParagraph"/>
        <w:numPr>
          <w:ilvl w:val="0"/>
          <w:numId w:val="23"/>
        </w:numPr>
      </w:pPr>
      <w:r w:rsidRPr="00A40A7E">
        <w:t xml:space="preserve">Development of an agent packet/agent material plan and agent office distribution. </w:t>
      </w:r>
      <w:proofErr w:type="gramStart"/>
      <w:r w:rsidR="00CA4E0F" w:rsidRPr="00A40A7E">
        <w:t>( Spring</w:t>
      </w:r>
      <w:proofErr w:type="gramEnd"/>
      <w:r w:rsidR="00CA4E0F" w:rsidRPr="00A40A7E">
        <w:t xml:space="preserve"> 2017)</w:t>
      </w:r>
    </w:p>
    <w:p w14:paraId="48CE7D3E" w14:textId="491AC155" w:rsidR="005B57B7" w:rsidRPr="00A40A7E" w:rsidRDefault="005B57B7" w:rsidP="002D5317">
      <w:pPr>
        <w:pStyle w:val="ListParagraph"/>
        <w:numPr>
          <w:ilvl w:val="0"/>
          <w:numId w:val="23"/>
        </w:numPr>
      </w:pPr>
      <w:r w:rsidRPr="00A40A7E">
        <w:t>Design of program and market-specific brochures and materials.</w:t>
      </w:r>
    </w:p>
    <w:p w14:paraId="4D278C20" w14:textId="20DF74C0" w:rsidR="008C6EB5" w:rsidRDefault="005B57B7" w:rsidP="002D5317">
      <w:pPr>
        <w:pStyle w:val="ListParagraph"/>
        <w:numPr>
          <w:ilvl w:val="0"/>
          <w:numId w:val="23"/>
        </w:numPr>
      </w:pPr>
      <w:r w:rsidRPr="00A40A7E">
        <w:t xml:space="preserve">E-brochure and inquiry management, source tracking solution. </w:t>
      </w:r>
    </w:p>
    <w:p w14:paraId="7028F1FA" w14:textId="77777777" w:rsidR="007176EE" w:rsidRPr="00A40A7E" w:rsidRDefault="007176EE" w:rsidP="008C6EB5"/>
    <w:p w14:paraId="013772EF" w14:textId="1A62F691" w:rsidR="008C6EB5" w:rsidRPr="003F6D03" w:rsidRDefault="003F6D03" w:rsidP="002D5317">
      <w:pPr>
        <w:rPr>
          <w:b/>
          <w:color w:val="0070C0"/>
        </w:rPr>
      </w:pPr>
      <w:r w:rsidRPr="003F6D03">
        <w:rPr>
          <w:b/>
          <w:color w:val="0070C0"/>
        </w:rPr>
        <w:t>Program Development Plans</w:t>
      </w:r>
    </w:p>
    <w:p w14:paraId="4740DCFE" w14:textId="71FF08EE" w:rsidR="008C6EB5" w:rsidRPr="003F6D03" w:rsidRDefault="003F6D03" w:rsidP="003F6D03">
      <w:pPr>
        <w:ind w:firstLine="360"/>
        <w:rPr>
          <w:b/>
          <w:color w:val="000000" w:themeColor="text1"/>
        </w:rPr>
      </w:pPr>
      <w:r w:rsidRPr="003F6D03">
        <w:rPr>
          <w:b/>
          <w:color w:val="000000" w:themeColor="text1"/>
        </w:rPr>
        <w:t>Short Term</w:t>
      </w:r>
    </w:p>
    <w:p w14:paraId="6D000277" w14:textId="3D37E0CD" w:rsidR="00622646" w:rsidRPr="00A40A7E" w:rsidRDefault="008C6EB5" w:rsidP="002D5317">
      <w:pPr>
        <w:pStyle w:val="ListParagraph"/>
        <w:numPr>
          <w:ilvl w:val="0"/>
          <w:numId w:val="22"/>
        </w:numPr>
      </w:pPr>
      <w:r w:rsidRPr="00A40A7E">
        <w:t>Entrepreneurship, leadership and innovation – partner with Blackstone Launch Pad</w:t>
      </w:r>
      <w:r w:rsidR="00DA187F" w:rsidRPr="00A40A7E">
        <w:t xml:space="preserve"> </w:t>
      </w:r>
      <w:r w:rsidRPr="00A40A7E">
        <w:t>(2-3 weeks running in winter and summer</w:t>
      </w:r>
      <w:r w:rsidR="00DA187F" w:rsidRPr="00A40A7E">
        <w:t xml:space="preserve">. </w:t>
      </w:r>
      <w:r w:rsidR="00145193" w:rsidRPr="00A40A7E">
        <w:t>Sightseeing</w:t>
      </w:r>
      <w:r w:rsidR="00DA187F" w:rsidRPr="00A40A7E">
        <w:t xml:space="preserve"> component</w:t>
      </w:r>
      <w:r w:rsidRPr="00A40A7E">
        <w:t>)</w:t>
      </w:r>
    </w:p>
    <w:p w14:paraId="529116C2" w14:textId="67957511" w:rsidR="00DA187F" w:rsidRPr="00A40A7E" w:rsidRDefault="00DA187F" w:rsidP="002D5317">
      <w:pPr>
        <w:pStyle w:val="ListParagraph"/>
        <w:numPr>
          <w:ilvl w:val="0"/>
          <w:numId w:val="22"/>
        </w:numPr>
      </w:pPr>
      <w:r w:rsidRPr="00A40A7E">
        <w:t xml:space="preserve">Executive and/or </w:t>
      </w:r>
      <w:proofErr w:type="gramStart"/>
      <w:r w:rsidRPr="00A40A7E">
        <w:t>students</w:t>
      </w:r>
      <w:proofErr w:type="gramEnd"/>
      <w:r w:rsidRPr="00A40A7E">
        <w:t xml:space="preserve"> programs – 2 weeks to run anytime during the year. Minimum 12-15 students</w:t>
      </w:r>
      <w:r w:rsidR="00BC7300">
        <w:t xml:space="preserve">. Areas: </w:t>
      </w:r>
      <w:r w:rsidRPr="00A40A7E">
        <w:t>Energy</w:t>
      </w:r>
      <w:r w:rsidR="00BC7300">
        <w:t xml:space="preserve">, </w:t>
      </w:r>
      <w:r w:rsidRPr="00A40A7E">
        <w:t>Hospitality &amp; Culinary</w:t>
      </w:r>
    </w:p>
    <w:p w14:paraId="6EC5CB37" w14:textId="77777777" w:rsidR="00877AFF" w:rsidRPr="00A40A7E" w:rsidRDefault="00877AFF" w:rsidP="003D425A"/>
    <w:p w14:paraId="1B01F0F0" w14:textId="3428B807" w:rsidR="00BC7300" w:rsidRDefault="003F6D03" w:rsidP="00BC7300">
      <w:pPr>
        <w:ind w:firstLine="360"/>
      </w:pPr>
      <w:r w:rsidRPr="003F6D03">
        <w:rPr>
          <w:b/>
          <w:color w:val="000000" w:themeColor="text1"/>
        </w:rPr>
        <w:t xml:space="preserve">Pathway </w:t>
      </w:r>
      <w:r w:rsidR="003D425A" w:rsidRPr="003F6D03">
        <w:rPr>
          <w:b/>
          <w:color w:val="000000" w:themeColor="text1"/>
        </w:rPr>
        <w:t>Programs</w:t>
      </w:r>
      <w:r w:rsidRPr="003F6D03">
        <w:rPr>
          <w:b/>
          <w:color w:val="000000" w:themeColor="text1"/>
        </w:rPr>
        <w:t xml:space="preserve"> (degree-seeking)</w:t>
      </w:r>
      <w:r w:rsidR="00BC7300">
        <w:rPr>
          <w:b/>
          <w:color w:val="000000" w:themeColor="text1"/>
        </w:rPr>
        <w:t xml:space="preserve">: </w:t>
      </w:r>
      <w:r w:rsidR="00622646" w:rsidRPr="00A40A7E">
        <w:t>UM &amp; Missoula College</w:t>
      </w:r>
    </w:p>
    <w:p w14:paraId="6E535071" w14:textId="77777777" w:rsidR="00DE19BB" w:rsidRDefault="00DE19BB" w:rsidP="00DE19BB"/>
    <w:p w14:paraId="0D41FFA2" w14:textId="77777777" w:rsidR="00DE19BB" w:rsidRDefault="00DE19BB" w:rsidP="00DE19BB"/>
    <w:p w14:paraId="42AD0E9C" w14:textId="5ADB05EF" w:rsidR="00DE19BB" w:rsidRPr="002D5317" w:rsidRDefault="00DE19BB" w:rsidP="002D5317">
      <w:pPr>
        <w:pStyle w:val="ListParagraph"/>
        <w:numPr>
          <w:ilvl w:val="0"/>
          <w:numId w:val="21"/>
        </w:numPr>
        <w:pBdr>
          <w:bottom w:val="single" w:sz="4" w:space="1" w:color="auto"/>
        </w:pBdr>
        <w:ind w:left="360"/>
        <w:rPr>
          <w:b/>
          <w:color w:val="000000" w:themeColor="text1"/>
          <w:sz w:val="28"/>
        </w:rPr>
      </w:pPr>
      <w:r w:rsidRPr="002D5317">
        <w:rPr>
          <w:b/>
          <w:color w:val="000000" w:themeColor="text1"/>
          <w:sz w:val="28"/>
        </w:rPr>
        <w:t>Scholarships for International Students:</w:t>
      </w:r>
    </w:p>
    <w:p w14:paraId="66D6865D" w14:textId="6564B70A" w:rsidR="00DE19BB" w:rsidRDefault="00DE19BB" w:rsidP="00DE19BB">
      <w:pPr>
        <w:rPr>
          <w:color w:val="000000" w:themeColor="text1"/>
        </w:rPr>
      </w:pPr>
      <w:r>
        <w:rPr>
          <w:color w:val="000000" w:themeColor="text1"/>
        </w:rPr>
        <w:t xml:space="preserve">Personal and family funds </w:t>
      </w:r>
      <w:r w:rsidR="000902FE">
        <w:rPr>
          <w:color w:val="000000" w:themeColor="text1"/>
        </w:rPr>
        <w:t>play</w:t>
      </w:r>
      <w:r>
        <w:rPr>
          <w:color w:val="000000" w:themeColor="text1"/>
        </w:rPr>
        <w:t xml:space="preserve"> a significant part in supporting international students in the U.S.; therefore, scholarships made available to international students </w:t>
      </w:r>
      <w:r w:rsidR="000902FE">
        <w:rPr>
          <w:color w:val="000000" w:themeColor="text1"/>
        </w:rPr>
        <w:t xml:space="preserve">are increasingly as important. </w:t>
      </w:r>
    </w:p>
    <w:p w14:paraId="7804A617" w14:textId="77777777" w:rsidR="000902FE" w:rsidRDefault="000902FE" w:rsidP="00DE19BB">
      <w:pPr>
        <w:rPr>
          <w:color w:val="000000" w:themeColor="text1"/>
        </w:rPr>
      </w:pPr>
    </w:p>
    <w:p w14:paraId="77AFC484" w14:textId="640233E2" w:rsidR="000902FE" w:rsidRDefault="000902FE" w:rsidP="00DE19BB">
      <w:pPr>
        <w:rPr>
          <w:color w:val="000000" w:themeColor="text1"/>
        </w:rPr>
      </w:pPr>
      <w:r>
        <w:rPr>
          <w:color w:val="000000" w:themeColor="text1"/>
        </w:rPr>
        <w:t xml:space="preserve">The ceiling for UM scholarships to international students has decreased from $10,000 in FY15 (recruiting for AY15/16) to $5,000 in in FY16 (recruiting for AY16/17) and again to $2,500–$3,000 in FY17 (recruiting for AY17/18). </w:t>
      </w:r>
      <w:r w:rsidR="009C371D">
        <w:rPr>
          <w:color w:val="000000" w:themeColor="text1"/>
        </w:rPr>
        <w:t xml:space="preserve"> </w:t>
      </w:r>
      <w:r>
        <w:rPr>
          <w:color w:val="000000" w:themeColor="text1"/>
        </w:rPr>
        <w:t>This contributes to reducing our competitiveness in international recruitment.</w:t>
      </w:r>
    </w:p>
    <w:p w14:paraId="09D55F8F" w14:textId="77777777" w:rsidR="009C371D" w:rsidRDefault="009C371D" w:rsidP="00DE19BB">
      <w:pPr>
        <w:rPr>
          <w:color w:val="000000" w:themeColor="text1"/>
        </w:rPr>
      </w:pPr>
    </w:p>
    <w:p w14:paraId="59BFA6BF" w14:textId="77777777" w:rsidR="009C371D" w:rsidRDefault="009C371D" w:rsidP="00DE19BB">
      <w:pPr>
        <w:rPr>
          <w:color w:val="000000" w:themeColor="text1"/>
        </w:rPr>
      </w:pPr>
    </w:p>
    <w:p w14:paraId="286CD743" w14:textId="29CA58FF" w:rsidR="009C371D" w:rsidRDefault="009C371D" w:rsidP="00DE19BB">
      <w:pPr>
        <w:rPr>
          <w:color w:val="000000" w:themeColor="text1"/>
        </w:rPr>
      </w:pPr>
      <w:r>
        <w:rPr>
          <w:color w:val="000000" w:themeColor="text1"/>
        </w:rPr>
        <w:t xml:space="preserve">The University of Montana offers a unique academic and living experience and our international students find a home at UM and in Missoula shortly after they arrive, having very high levels of satisfaction with their choice of university. The academic excellence of our programs, our dedicated faculty, and the diversity of our community help with the retention </w:t>
      </w:r>
      <w:r w:rsidR="00B76D83">
        <w:rPr>
          <w:color w:val="000000" w:themeColor="text1"/>
        </w:rPr>
        <w:t>and completion of these students, leaving recruiting them to come to a less popular state and city (compared to, for example, NY, California or Texas) as the main and most difficult task.</w:t>
      </w:r>
    </w:p>
    <w:p w14:paraId="5F6A9921" w14:textId="77777777" w:rsidR="00080E7F" w:rsidRDefault="00080E7F" w:rsidP="00DE19BB">
      <w:pPr>
        <w:rPr>
          <w:color w:val="000000" w:themeColor="text1"/>
        </w:rPr>
      </w:pPr>
    </w:p>
    <w:p w14:paraId="17817D87" w14:textId="77777777" w:rsidR="00080E7F" w:rsidRPr="00DE19BB" w:rsidRDefault="00080E7F" w:rsidP="00080E7F">
      <w:pPr>
        <w:pBdr>
          <w:bottom w:val="single" w:sz="4" w:space="1" w:color="auto"/>
        </w:pBdr>
        <w:rPr>
          <w:color w:val="000000" w:themeColor="text1"/>
        </w:rPr>
      </w:pPr>
    </w:p>
    <w:sectPr w:rsidR="00080E7F" w:rsidRPr="00DE19BB" w:rsidSect="00056D34">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E1678" w14:textId="77777777" w:rsidR="00BB1CB3" w:rsidRDefault="00BB1CB3" w:rsidP="00BC0F53">
      <w:r>
        <w:separator/>
      </w:r>
    </w:p>
  </w:endnote>
  <w:endnote w:type="continuationSeparator" w:id="0">
    <w:p w14:paraId="6671F5B1" w14:textId="77777777" w:rsidR="00BB1CB3" w:rsidRDefault="00BB1CB3" w:rsidP="00BC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6088B" w14:textId="77777777" w:rsidR="00BB1CB3" w:rsidRDefault="00BB1CB3" w:rsidP="00BC0F53">
      <w:r>
        <w:separator/>
      </w:r>
    </w:p>
  </w:footnote>
  <w:footnote w:type="continuationSeparator" w:id="0">
    <w:p w14:paraId="6372775E" w14:textId="77777777" w:rsidR="00BB1CB3" w:rsidRDefault="00BB1CB3" w:rsidP="00BC0F53">
      <w:r>
        <w:continuationSeparator/>
      </w:r>
    </w:p>
  </w:footnote>
  <w:footnote w:id="1">
    <w:p w14:paraId="4EE46ECC" w14:textId="77777777" w:rsidR="007176EE" w:rsidRPr="00BC0F53" w:rsidRDefault="007176EE" w:rsidP="007176EE">
      <w:pPr>
        <w:rPr>
          <w:sz w:val="20"/>
        </w:rPr>
      </w:pPr>
      <w:r w:rsidRPr="00BC0F53">
        <w:rPr>
          <w:rStyle w:val="FootnoteReference"/>
          <w:sz w:val="20"/>
        </w:rPr>
        <w:footnoteRef/>
      </w:r>
      <w:r w:rsidRPr="00BC0F53">
        <w:rPr>
          <w:sz w:val="20"/>
        </w:rPr>
        <w:t xml:space="preserve"> Total International </w:t>
      </w:r>
      <w:r>
        <w:rPr>
          <w:sz w:val="20"/>
        </w:rPr>
        <w:t xml:space="preserve">recruitment cost (excluding </w:t>
      </w:r>
      <w:r w:rsidRPr="00BC0F53">
        <w:rPr>
          <w:sz w:val="20"/>
        </w:rPr>
        <w:t>admissions</w:t>
      </w:r>
      <w:r>
        <w:rPr>
          <w:sz w:val="20"/>
        </w:rPr>
        <w:t xml:space="preserve">) </w:t>
      </w:r>
      <w:proofErr w:type="gramStart"/>
      <w:r>
        <w:rPr>
          <w:sz w:val="20"/>
        </w:rPr>
        <w:t xml:space="preserve">= </w:t>
      </w:r>
      <w:r w:rsidRPr="00BC0F53">
        <w:rPr>
          <w:sz w:val="20"/>
        </w:rPr>
        <w:t xml:space="preserve"> 126,000</w:t>
      </w:r>
      <w:proofErr w:type="gramEnd"/>
      <w:r>
        <w:rPr>
          <w:sz w:val="20"/>
        </w:rPr>
        <w:t xml:space="preserve"> (FY16; recruitment for AY 16/17). </w:t>
      </w:r>
      <w:r w:rsidRPr="00BC0F53">
        <w:rPr>
          <w:sz w:val="20"/>
        </w:rPr>
        <w:t>N</w:t>
      </w:r>
      <w:r>
        <w:rPr>
          <w:sz w:val="20"/>
        </w:rPr>
        <w:t>umber of</w:t>
      </w:r>
      <w:r w:rsidRPr="00BC0F53">
        <w:rPr>
          <w:sz w:val="20"/>
        </w:rPr>
        <w:t xml:space="preserve"> new students enrolled Fall 2016 = 226 – 54 </w:t>
      </w:r>
      <w:proofErr w:type="spellStart"/>
      <w:r w:rsidRPr="00BC0F53">
        <w:rPr>
          <w:sz w:val="20"/>
        </w:rPr>
        <w:t>exch</w:t>
      </w:r>
      <w:proofErr w:type="spellEnd"/>
      <w:r w:rsidRPr="00BC0F53">
        <w:rPr>
          <w:sz w:val="20"/>
        </w:rPr>
        <w:t xml:space="preserve"> students – 52 </w:t>
      </w:r>
      <w:proofErr w:type="spellStart"/>
      <w:r w:rsidRPr="00BC0F53">
        <w:rPr>
          <w:sz w:val="20"/>
        </w:rPr>
        <w:t>tDPT</w:t>
      </w:r>
      <w:proofErr w:type="spellEnd"/>
      <w:r w:rsidRPr="00BC0F53">
        <w:rPr>
          <w:sz w:val="20"/>
        </w:rPr>
        <w:t xml:space="preserve"> students = 120. Expected number of new students enrolled in spring 30. Total </w:t>
      </w:r>
      <w:proofErr w:type="spellStart"/>
      <w:r w:rsidRPr="00BC0F53">
        <w:rPr>
          <w:sz w:val="20"/>
        </w:rPr>
        <w:t>stds</w:t>
      </w:r>
      <w:proofErr w:type="spellEnd"/>
      <w:r w:rsidRPr="00BC0F53">
        <w:rPr>
          <w:sz w:val="20"/>
        </w:rPr>
        <w:t>=150</w:t>
      </w:r>
    </w:p>
    <w:p w14:paraId="2C7B5D3B" w14:textId="77777777" w:rsidR="007176EE" w:rsidRPr="00BC0F53" w:rsidRDefault="007176EE" w:rsidP="007176EE">
      <w:pPr>
        <w:rPr>
          <w:sz w:val="20"/>
        </w:rPr>
      </w:pPr>
      <w:r w:rsidRPr="00BC0F53">
        <w:rPr>
          <w:sz w:val="20"/>
        </w:rPr>
        <w:t xml:space="preserve">Average cost of recruiting one </w:t>
      </w:r>
      <w:proofErr w:type="spellStart"/>
      <w:r w:rsidRPr="00BC0F53">
        <w:rPr>
          <w:sz w:val="20"/>
        </w:rPr>
        <w:t>interntional</w:t>
      </w:r>
      <w:proofErr w:type="spellEnd"/>
      <w:r w:rsidRPr="00BC0F53">
        <w:rPr>
          <w:sz w:val="20"/>
        </w:rPr>
        <w:t xml:space="preserve"> student for AY16/17= $840/student</w:t>
      </w:r>
    </w:p>
    <w:p w14:paraId="13B4611A" w14:textId="77777777" w:rsidR="007176EE" w:rsidRDefault="007176EE" w:rsidP="007176EE">
      <w:pPr>
        <w:pStyle w:val="FootnoteText"/>
      </w:pPr>
    </w:p>
  </w:footnote>
  <w:footnote w:id="2">
    <w:p w14:paraId="1E89CCC3" w14:textId="153BDBB0" w:rsidR="00EF4921" w:rsidRPr="003B288B" w:rsidRDefault="00EF4921">
      <w:pPr>
        <w:pStyle w:val="FootnoteText"/>
        <w:rPr>
          <w:sz w:val="20"/>
        </w:rPr>
      </w:pPr>
      <w:r>
        <w:rPr>
          <w:rStyle w:val="FootnoteReference"/>
        </w:rPr>
        <w:footnoteRef/>
      </w:r>
      <w:r>
        <w:t xml:space="preserve"> </w:t>
      </w:r>
      <w:r w:rsidRPr="003B288B">
        <w:rPr>
          <w:sz w:val="20"/>
        </w:rPr>
        <w:t>Students on F, J and O visas, plus Online Students. Excludes University Partner Exchanges and ISEP international students.</w:t>
      </w:r>
    </w:p>
  </w:footnote>
  <w:footnote w:id="3">
    <w:p w14:paraId="240A08DB" w14:textId="6E634188" w:rsidR="00EF4921" w:rsidRPr="003B288B" w:rsidRDefault="00EF4921">
      <w:pPr>
        <w:pStyle w:val="FootnoteText"/>
        <w:rPr>
          <w:sz w:val="20"/>
        </w:rPr>
      </w:pPr>
      <w:r w:rsidRPr="003B288B">
        <w:rPr>
          <w:rStyle w:val="FootnoteReference"/>
          <w:sz w:val="20"/>
        </w:rPr>
        <w:footnoteRef/>
      </w:r>
      <w:r w:rsidRPr="003B288B">
        <w:rPr>
          <w:sz w:val="20"/>
        </w:rPr>
        <w:t xml:space="preserve"> Includes 86 Brazilian </w:t>
      </w:r>
      <w:r w:rsidR="00E8338D">
        <w:rPr>
          <w:sz w:val="20"/>
        </w:rPr>
        <w:t xml:space="preserve">BSMP </w:t>
      </w:r>
      <w:r w:rsidRPr="003B288B">
        <w:rPr>
          <w:sz w:val="20"/>
        </w:rPr>
        <w:t>students and 86 Japanese students. Two factors impacted these same nationalities in subsequent years: (</w:t>
      </w:r>
      <w:proofErr w:type="spellStart"/>
      <w:r w:rsidRPr="003B288B">
        <w:rPr>
          <w:sz w:val="20"/>
        </w:rPr>
        <w:t>a</w:t>
      </w:r>
      <w:proofErr w:type="spellEnd"/>
      <w:r w:rsidRPr="003B288B">
        <w:rPr>
          <w:sz w:val="20"/>
        </w:rPr>
        <w:t>) the end of the Brazilian Government scholarships for studying abroad</w:t>
      </w:r>
      <w:r w:rsidR="007A50C3">
        <w:rPr>
          <w:sz w:val="20"/>
        </w:rPr>
        <w:t xml:space="preserve"> (BSMP)</w:t>
      </w:r>
      <w:r w:rsidRPr="003B288B">
        <w:rPr>
          <w:sz w:val="20"/>
        </w:rPr>
        <w:t xml:space="preserve">, and (b) the increase of the minimum English Language proficiency level of full admission to UM from 61 to 70 TOEFL </w:t>
      </w:r>
      <w:proofErr w:type="spellStart"/>
      <w:r w:rsidRPr="003B288B">
        <w:rPr>
          <w:sz w:val="20"/>
        </w:rPr>
        <w:t>iBT</w:t>
      </w:r>
      <w:proofErr w:type="spellEnd"/>
      <w:r>
        <w:rPr>
          <w:sz w:val="20"/>
        </w:rPr>
        <w:t>, affecting mainly our</w:t>
      </w:r>
      <w:r w:rsidRPr="003B288B">
        <w:rPr>
          <w:sz w:val="20"/>
        </w:rPr>
        <w:t xml:space="preserve"> l</w:t>
      </w:r>
      <w:r>
        <w:rPr>
          <w:sz w:val="20"/>
        </w:rPr>
        <w:t>argest Asian student population</w:t>
      </w:r>
      <w:r w:rsidRPr="003B288B">
        <w:rPr>
          <w:sz w:val="20"/>
        </w:rPr>
        <w:t xml:space="preserve"> – Japan</w:t>
      </w:r>
      <w:r>
        <w:rPr>
          <w:sz w:val="20"/>
        </w:rPr>
        <w:t>.</w:t>
      </w:r>
    </w:p>
  </w:footnote>
  <w:footnote w:id="4">
    <w:p w14:paraId="606F684C" w14:textId="7649194A" w:rsidR="00F862EC" w:rsidRPr="00C849BE" w:rsidRDefault="00F862EC" w:rsidP="00C849BE">
      <w:pPr>
        <w:rPr>
          <w:rFonts w:ascii="Times New Roman" w:eastAsia="Times New Roman" w:hAnsi="Times New Roman" w:cs="Times New Roman"/>
          <w:sz w:val="20"/>
          <w:szCs w:val="20"/>
        </w:rPr>
      </w:pPr>
      <w:r>
        <w:rPr>
          <w:rStyle w:val="FootnoteReference"/>
        </w:rPr>
        <w:footnoteRef/>
      </w:r>
      <w:r>
        <w:t xml:space="preserve"> </w:t>
      </w:r>
      <w:r w:rsidRPr="00F862EC">
        <w:rPr>
          <w:rFonts w:ascii="Times New Roman" w:eastAsia="Times New Roman" w:hAnsi="Times New Roman" w:cs="Times New Roman"/>
          <w:sz w:val="20"/>
          <w:szCs w:val="20"/>
        </w:rPr>
        <w:t xml:space="preserve">Montana ranks </w:t>
      </w:r>
      <w:r w:rsidRPr="00947A52">
        <w:rPr>
          <w:rFonts w:ascii="Times New Roman" w:eastAsia="Times New Roman" w:hAnsi="Times New Roman" w:cs="Times New Roman"/>
          <w:sz w:val="20"/>
          <w:szCs w:val="20"/>
        </w:rPr>
        <w:t xml:space="preserve">#47 </w:t>
      </w:r>
      <w:r w:rsidRPr="00F862EC">
        <w:rPr>
          <w:rFonts w:ascii="Times New Roman" w:eastAsia="Times New Roman" w:hAnsi="Times New Roman" w:cs="Times New Roman"/>
          <w:sz w:val="20"/>
          <w:szCs w:val="20"/>
        </w:rPr>
        <w:t xml:space="preserve">in the U.S. with </w:t>
      </w:r>
      <w:r w:rsidRPr="00947A52">
        <w:rPr>
          <w:rFonts w:ascii="Times New Roman" w:eastAsia="Times New Roman" w:hAnsi="Times New Roman" w:cs="Times New Roman"/>
          <w:sz w:val="20"/>
          <w:szCs w:val="20"/>
        </w:rPr>
        <w:t xml:space="preserve">1,735 </w:t>
      </w:r>
      <w:r w:rsidRPr="00F862EC">
        <w:rPr>
          <w:rFonts w:ascii="Times New Roman" w:eastAsia="Times New Roman" w:hAnsi="Times New Roman" w:cs="Times New Roman"/>
          <w:sz w:val="20"/>
          <w:szCs w:val="20"/>
        </w:rPr>
        <w:t>international students</w:t>
      </w:r>
      <w:r>
        <w:rPr>
          <w:rFonts w:ascii="Times New Roman" w:eastAsia="Times New Roman" w:hAnsi="Times New Roman" w:cs="Times New Roman"/>
          <w:sz w:val="20"/>
          <w:szCs w:val="20"/>
        </w:rPr>
        <w:t xml:space="preserve">. </w:t>
      </w:r>
      <w:r w:rsidRPr="00F862EC">
        <w:rPr>
          <w:rFonts w:ascii="Times New Roman" w:eastAsia="Times New Roman" w:hAnsi="Times New Roman" w:cs="Times New Roman"/>
          <w:sz w:val="20"/>
          <w:szCs w:val="20"/>
        </w:rPr>
        <w:t>Estimated international stude</w:t>
      </w:r>
      <w:r w:rsidR="003555C2">
        <w:rPr>
          <w:rFonts w:ascii="Times New Roman" w:eastAsia="Times New Roman" w:hAnsi="Times New Roman" w:cs="Times New Roman"/>
          <w:sz w:val="20"/>
          <w:szCs w:val="20"/>
        </w:rPr>
        <w:t>nts’ economic impact o</w:t>
      </w:r>
      <w:r w:rsidRPr="00F862EC">
        <w:rPr>
          <w:rFonts w:ascii="Times New Roman" w:eastAsia="Times New Roman" w:hAnsi="Times New Roman" w:cs="Times New Roman"/>
          <w:sz w:val="20"/>
          <w:szCs w:val="20"/>
        </w:rPr>
        <w:t xml:space="preserve">n Montana </w:t>
      </w:r>
      <w:r w:rsidR="003555C2">
        <w:rPr>
          <w:rFonts w:ascii="Times New Roman" w:eastAsia="Times New Roman" w:hAnsi="Times New Roman" w:cs="Times New Roman"/>
          <w:sz w:val="20"/>
          <w:szCs w:val="20"/>
        </w:rPr>
        <w:t>(</w:t>
      </w:r>
      <w:r w:rsidRPr="00F862EC">
        <w:rPr>
          <w:rFonts w:ascii="Times New Roman" w:eastAsia="Times New Roman" w:hAnsi="Times New Roman" w:cs="Times New Roman"/>
          <w:sz w:val="20"/>
          <w:szCs w:val="20"/>
        </w:rPr>
        <w:t>2015</w:t>
      </w:r>
      <w:r w:rsidR="003555C2">
        <w:rPr>
          <w:rFonts w:ascii="Times New Roman" w:eastAsia="Times New Roman" w:hAnsi="Times New Roman" w:cs="Times New Roman"/>
          <w:sz w:val="20"/>
          <w:szCs w:val="20"/>
        </w:rPr>
        <w:t>)</w:t>
      </w:r>
      <w:r w:rsidRPr="00F862EC">
        <w:rPr>
          <w:rFonts w:ascii="Times New Roman" w:eastAsia="Times New Roman" w:hAnsi="Times New Roman" w:cs="Times New Roman"/>
          <w:sz w:val="20"/>
          <w:szCs w:val="20"/>
        </w:rPr>
        <w:t xml:space="preserve"> = </w:t>
      </w:r>
      <w:r w:rsidRPr="00947A52">
        <w:rPr>
          <w:rFonts w:ascii="Times New Roman" w:eastAsia="Times New Roman" w:hAnsi="Times New Roman" w:cs="Times New Roman"/>
          <w:sz w:val="20"/>
          <w:szCs w:val="20"/>
        </w:rPr>
        <w:t>$50,464,096</w:t>
      </w:r>
      <w:r w:rsidRPr="00F862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29,086 per </w:t>
      </w:r>
      <w:r w:rsidRPr="00F862EC">
        <w:rPr>
          <w:rFonts w:ascii="Times New Roman" w:eastAsia="Times New Roman" w:hAnsi="Times New Roman" w:cs="Times New Roman"/>
          <w:sz w:val="20"/>
          <w:szCs w:val="20"/>
        </w:rPr>
        <w:t>student)</w:t>
      </w:r>
    </w:p>
  </w:footnote>
  <w:footnote w:id="5">
    <w:p w14:paraId="192EF414" w14:textId="08DF84D7" w:rsidR="00145193" w:rsidRDefault="00145193">
      <w:pPr>
        <w:pStyle w:val="FootnoteText"/>
      </w:pPr>
      <w:r>
        <w:rPr>
          <w:rStyle w:val="FootnoteReference"/>
        </w:rPr>
        <w:footnoteRef/>
      </w:r>
      <w:r>
        <w:t xml:space="preserve"> </w:t>
      </w:r>
      <w:r w:rsidRPr="00145193">
        <w:rPr>
          <w:sz w:val="20"/>
        </w:rPr>
        <w:t>China</w:t>
      </w:r>
      <w:r>
        <w:rPr>
          <w:sz w:val="20"/>
        </w:rPr>
        <w:t xml:space="preserve"> is not currently included in this priority list due to the investment required to make a significant impr</w:t>
      </w:r>
      <w:r w:rsidR="008E2AF7">
        <w:rPr>
          <w:sz w:val="20"/>
        </w:rPr>
        <w:t>int.</w:t>
      </w:r>
    </w:p>
  </w:footnote>
  <w:footnote w:id="6">
    <w:p w14:paraId="5E601730" w14:textId="57F1ACE7" w:rsidR="00C849BE" w:rsidRPr="00C849BE" w:rsidRDefault="00C849BE">
      <w:pPr>
        <w:pStyle w:val="FootnoteText"/>
        <w:rPr>
          <w:sz w:val="20"/>
        </w:rPr>
      </w:pPr>
      <w:r>
        <w:rPr>
          <w:rStyle w:val="FootnoteReference"/>
        </w:rPr>
        <w:footnoteRef/>
      </w:r>
      <w:r>
        <w:t xml:space="preserve"> </w:t>
      </w:r>
      <w:r w:rsidR="00AF4D30">
        <w:rPr>
          <w:sz w:val="20"/>
        </w:rPr>
        <w:t xml:space="preserve">518 apps -43 </w:t>
      </w:r>
      <w:proofErr w:type="spellStart"/>
      <w:r w:rsidR="00AF4D30">
        <w:rPr>
          <w:sz w:val="20"/>
        </w:rPr>
        <w:t>exch</w:t>
      </w:r>
      <w:proofErr w:type="spellEnd"/>
      <w:r w:rsidR="00AF4D30">
        <w:rPr>
          <w:sz w:val="20"/>
        </w:rPr>
        <w:t xml:space="preserve"> -16 ISEP= 459 apps; 226 enrolled-36 </w:t>
      </w:r>
      <w:proofErr w:type="spellStart"/>
      <w:r w:rsidR="00AF4D30">
        <w:rPr>
          <w:sz w:val="20"/>
        </w:rPr>
        <w:t>exch</w:t>
      </w:r>
      <w:proofErr w:type="spellEnd"/>
      <w:r w:rsidR="00AF4D30">
        <w:rPr>
          <w:sz w:val="20"/>
        </w:rPr>
        <w:t xml:space="preserve"> -15 ISEP = 175; 175/459=.38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5927" w14:textId="77777777" w:rsidR="00056D34" w:rsidRDefault="00056D34" w:rsidP="00056D34">
    <w:pPr>
      <w:pStyle w:val="Header"/>
      <w:jc w:val="center"/>
      <w:rPr>
        <w:sz w:val="20"/>
      </w:rPr>
    </w:pPr>
  </w:p>
  <w:p w14:paraId="252C0D9A" w14:textId="77777777" w:rsidR="00056D34" w:rsidRPr="00056D34" w:rsidRDefault="00056D34" w:rsidP="00056D34">
    <w:pPr>
      <w:pStyle w:val="Header"/>
      <w:jc w:val="cent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39B2" w14:textId="77777777" w:rsidR="00056D34" w:rsidRPr="00056D34" w:rsidRDefault="00056D34" w:rsidP="00056D34">
    <w:pPr>
      <w:pStyle w:val="Header"/>
      <w:jc w:val="center"/>
      <w:rPr>
        <w:sz w:val="20"/>
      </w:rPr>
    </w:pPr>
    <w:r w:rsidRPr="00056D34">
      <w:rPr>
        <w:sz w:val="20"/>
      </w:rPr>
      <w:t>Update on International Recruitment</w:t>
    </w:r>
  </w:p>
  <w:p w14:paraId="05922B19" w14:textId="77777777" w:rsidR="00056D34" w:rsidRPr="00056D34" w:rsidRDefault="00056D34" w:rsidP="00056D34">
    <w:pPr>
      <w:pStyle w:val="Header"/>
      <w:jc w:val="center"/>
      <w:rPr>
        <w:sz w:val="20"/>
      </w:rPr>
    </w:pPr>
    <w:r w:rsidRPr="00056D34">
      <w:rPr>
        <w:sz w:val="20"/>
      </w:rPr>
      <w:t>December 6, 2016</w:t>
    </w:r>
  </w:p>
  <w:p w14:paraId="538C11DB" w14:textId="77777777" w:rsidR="00056D34" w:rsidRPr="00056D34" w:rsidRDefault="00056D34" w:rsidP="00056D34">
    <w:pPr>
      <w:pStyle w:val="Header"/>
      <w:jc w:val="center"/>
      <w:rPr>
        <w:sz w:val="20"/>
      </w:rPr>
    </w:pPr>
    <w:r w:rsidRPr="00056D34">
      <w:rPr>
        <w:sz w:val="20"/>
      </w:rPr>
      <w:t>Paulo Zagalo-Melo</w:t>
    </w:r>
  </w:p>
  <w:p w14:paraId="3F95EC1B" w14:textId="77777777" w:rsidR="00056D34" w:rsidRDefault="00056D34" w:rsidP="00056D34">
    <w:pPr>
      <w:pStyle w:val="Header"/>
      <w:jc w:val="center"/>
      <w:rPr>
        <w:sz w:val="20"/>
      </w:rPr>
    </w:pPr>
    <w:r w:rsidRPr="00056D34">
      <w:rPr>
        <w:sz w:val="20"/>
      </w:rPr>
      <w:t>Associate Provost for Global Education</w:t>
    </w:r>
  </w:p>
  <w:p w14:paraId="38C4455A" w14:textId="77777777" w:rsidR="00056D34" w:rsidRDefault="00056D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962"/>
    <w:multiLevelType w:val="hybridMultilevel"/>
    <w:tmpl w:val="2B70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292"/>
    <w:multiLevelType w:val="hybridMultilevel"/>
    <w:tmpl w:val="A904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943BB"/>
    <w:multiLevelType w:val="hybridMultilevel"/>
    <w:tmpl w:val="4A749BEE"/>
    <w:lvl w:ilvl="0" w:tplc="9744A1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3A7C"/>
    <w:multiLevelType w:val="hybridMultilevel"/>
    <w:tmpl w:val="C7C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8512B"/>
    <w:multiLevelType w:val="hybridMultilevel"/>
    <w:tmpl w:val="4906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53586"/>
    <w:multiLevelType w:val="hybridMultilevel"/>
    <w:tmpl w:val="230CD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021B7"/>
    <w:multiLevelType w:val="hybridMultilevel"/>
    <w:tmpl w:val="5E4ACB54"/>
    <w:lvl w:ilvl="0" w:tplc="9744A1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71F73"/>
    <w:multiLevelType w:val="hybridMultilevel"/>
    <w:tmpl w:val="ADBED02C"/>
    <w:lvl w:ilvl="0" w:tplc="9744A1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75425"/>
    <w:multiLevelType w:val="hybridMultilevel"/>
    <w:tmpl w:val="8BB2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52F4D"/>
    <w:multiLevelType w:val="hybridMultilevel"/>
    <w:tmpl w:val="A3047606"/>
    <w:lvl w:ilvl="0" w:tplc="9744A1DA">
      <w:start w:val="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F2337"/>
    <w:multiLevelType w:val="hybridMultilevel"/>
    <w:tmpl w:val="4FE2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306CE"/>
    <w:multiLevelType w:val="hybridMultilevel"/>
    <w:tmpl w:val="772E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9532A"/>
    <w:multiLevelType w:val="hybridMultilevel"/>
    <w:tmpl w:val="E34EE132"/>
    <w:lvl w:ilvl="0" w:tplc="87FE83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C3135F"/>
    <w:multiLevelType w:val="hybridMultilevel"/>
    <w:tmpl w:val="A206561A"/>
    <w:lvl w:ilvl="0" w:tplc="9744A1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46A5"/>
    <w:multiLevelType w:val="hybridMultilevel"/>
    <w:tmpl w:val="E330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03014"/>
    <w:multiLevelType w:val="hybridMultilevel"/>
    <w:tmpl w:val="4E7A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6345E"/>
    <w:multiLevelType w:val="hybridMultilevel"/>
    <w:tmpl w:val="5ABE9C42"/>
    <w:lvl w:ilvl="0" w:tplc="9744A1DA">
      <w:start w:val="5"/>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C46A48"/>
    <w:multiLevelType w:val="hybridMultilevel"/>
    <w:tmpl w:val="DC78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553DA"/>
    <w:multiLevelType w:val="hybridMultilevel"/>
    <w:tmpl w:val="3D0E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31862"/>
    <w:multiLevelType w:val="hybridMultilevel"/>
    <w:tmpl w:val="4EC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D3AE9"/>
    <w:multiLevelType w:val="hybridMultilevel"/>
    <w:tmpl w:val="874041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3E0083"/>
    <w:multiLevelType w:val="hybridMultilevel"/>
    <w:tmpl w:val="B942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E2AD9"/>
    <w:multiLevelType w:val="hybridMultilevel"/>
    <w:tmpl w:val="10A8779E"/>
    <w:lvl w:ilvl="0" w:tplc="9744A1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7"/>
  </w:num>
  <w:num w:numId="4">
    <w:abstractNumId w:val="12"/>
  </w:num>
  <w:num w:numId="5">
    <w:abstractNumId w:val="11"/>
  </w:num>
  <w:num w:numId="6">
    <w:abstractNumId w:val="20"/>
  </w:num>
  <w:num w:numId="7">
    <w:abstractNumId w:val="18"/>
  </w:num>
  <w:num w:numId="8">
    <w:abstractNumId w:val="10"/>
  </w:num>
  <w:num w:numId="9">
    <w:abstractNumId w:val="1"/>
  </w:num>
  <w:num w:numId="10">
    <w:abstractNumId w:val="19"/>
  </w:num>
  <w:num w:numId="11">
    <w:abstractNumId w:val="8"/>
  </w:num>
  <w:num w:numId="12">
    <w:abstractNumId w:val="14"/>
  </w:num>
  <w:num w:numId="13">
    <w:abstractNumId w:val="15"/>
  </w:num>
  <w:num w:numId="14">
    <w:abstractNumId w:val="3"/>
  </w:num>
  <w:num w:numId="15">
    <w:abstractNumId w:val="7"/>
  </w:num>
  <w:num w:numId="16">
    <w:abstractNumId w:val="22"/>
  </w:num>
  <w:num w:numId="17">
    <w:abstractNumId w:val="6"/>
  </w:num>
  <w:num w:numId="18">
    <w:abstractNumId w:val="5"/>
  </w:num>
  <w:num w:numId="19">
    <w:abstractNumId w:val="2"/>
  </w:num>
  <w:num w:numId="20">
    <w:abstractNumId w:val="13"/>
  </w:num>
  <w:num w:numId="21">
    <w:abstractNumId w:val="0"/>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Full" w:cryptAlgorithmClass="hash" w:cryptAlgorithmType="typeAny" w:cryptAlgorithmSid="4" w:cryptSpinCount="100000" w:hash="A4+DJsA7mQTPVlmWhDge+nf+b4U=" w:salt="aFVzwmrqRWf71eYwf/5SDw=="/>
  <w:zoom w:percent="160"/>
  <w:removePersonalInformation/>
  <w:removeDateAndTime/>
  <w:activeWritingStyle w:appName="MSWord" w:lang="en-US" w:vendorID="64" w:dllVersion="131078" w:nlCheck="1" w:checkStyle="0"/>
  <w:proofState w:spelling="clean" w:grammar="clean"/>
  <w:trackRevisions/>
  <w:documentProtection w:edit="trackedChanges" w:enforcement="1" w:cryptProviderType="rsaFull" w:cryptAlgorithmClass="hash" w:cryptAlgorithmType="typeAny" w:cryptAlgorithmSid="4" w:cryptSpinCount="100000" w:hash="MqwszGiqLs07uTA9iUOuo44PD/0=" w:salt="mFmbigul2ownKDY3EqBEA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60"/>
    <w:rsid w:val="000068A6"/>
    <w:rsid w:val="00013D34"/>
    <w:rsid w:val="00017AC8"/>
    <w:rsid w:val="00020F73"/>
    <w:rsid w:val="0003092D"/>
    <w:rsid w:val="00034EEA"/>
    <w:rsid w:val="00056D34"/>
    <w:rsid w:val="00071CB2"/>
    <w:rsid w:val="00080E7F"/>
    <w:rsid w:val="00082C21"/>
    <w:rsid w:val="00083A30"/>
    <w:rsid w:val="000902FE"/>
    <w:rsid w:val="000947C5"/>
    <w:rsid w:val="000A042B"/>
    <w:rsid w:val="000A5FA0"/>
    <w:rsid w:val="000B4AC0"/>
    <w:rsid w:val="000C6EF9"/>
    <w:rsid w:val="000D14AC"/>
    <w:rsid w:val="00126E9E"/>
    <w:rsid w:val="00130A4B"/>
    <w:rsid w:val="00145193"/>
    <w:rsid w:val="00162785"/>
    <w:rsid w:val="00181D3C"/>
    <w:rsid w:val="001F24B3"/>
    <w:rsid w:val="002154E5"/>
    <w:rsid w:val="002173F8"/>
    <w:rsid w:val="00225FD8"/>
    <w:rsid w:val="002326B9"/>
    <w:rsid w:val="00245BAB"/>
    <w:rsid w:val="00267AF7"/>
    <w:rsid w:val="002A3AB3"/>
    <w:rsid w:val="002B718E"/>
    <w:rsid w:val="002D1472"/>
    <w:rsid w:val="002D5317"/>
    <w:rsid w:val="003157C7"/>
    <w:rsid w:val="00320B23"/>
    <w:rsid w:val="00321B40"/>
    <w:rsid w:val="00331800"/>
    <w:rsid w:val="00354EAE"/>
    <w:rsid w:val="003555C2"/>
    <w:rsid w:val="0035683E"/>
    <w:rsid w:val="0036590F"/>
    <w:rsid w:val="00384E94"/>
    <w:rsid w:val="00395F5B"/>
    <w:rsid w:val="003B288B"/>
    <w:rsid w:val="003C33BA"/>
    <w:rsid w:val="003D425A"/>
    <w:rsid w:val="003E695A"/>
    <w:rsid w:val="003F6D03"/>
    <w:rsid w:val="004315E8"/>
    <w:rsid w:val="0048510F"/>
    <w:rsid w:val="004E60E6"/>
    <w:rsid w:val="004F04DF"/>
    <w:rsid w:val="004F59EE"/>
    <w:rsid w:val="00517864"/>
    <w:rsid w:val="00523F0F"/>
    <w:rsid w:val="005412C3"/>
    <w:rsid w:val="00543449"/>
    <w:rsid w:val="00546D04"/>
    <w:rsid w:val="00560D5D"/>
    <w:rsid w:val="00573543"/>
    <w:rsid w:val="00576B4D"/>
    <w:rsid w:val="00593458"/>
    <w:rsid w:val="005B052A"/>
    <w:rsid w:val="005B57B7"/>
    <w:rsid w:val="005C45CB"/>
    <w:rsid w:val="005D59D1"/>
    <w:rsid w:val="006051C8"/>
    <w:rsid w:val="00620B73"/>
    <w:rsid w:val="00622646"/>
    <w:rsid w:val="00663D8B"/>
    <w:rsid w:val="006648DE"/>
    <w:rsid w:val="00671F97"/>
    <w:rsid w:val="006820E2"/>
    <w:rsid w:val="00685983"/>
    <w:rsid w:val="006C6586"/>
    <w:rsid w:val="006E1020"/>
    <w:rsid w:val="006F7B23"/>
    <w:rsid w:val="00714865"/>
    <w:rsid w:val="007176EE"/>
    <w:rsid w:val="007436CB"/>
    <w:rsid w:val="00764A1C"/>
    <w:rsid w:val="007A50C3"/>
    <w:rsid w:val="007B3C8E"/>
    <w:rsid w:val="007D3543"/>
    <w:rsid w:val="007D369A"/>
    <w:rsid w:val="007E6460"/>
    <w:rsid w:val="00800F16"/>
    <w:rsid w:val="00805E16"/>
    <w:rsid w:val="008121EB"/>
    <w:rsid w:val="0086747C"/>
    <w:rsid w:val="00877AFF"/>
    <w:rsid w:val="008A78B3"/>
    <w:rsid w:val="008C0D75"/>
    <w:rsid w:val="008C6EB5"/>
    <w:rsid w:val="008E2AF7"/>
    <w:rsid w:val="008F02EC"/>
    <w:rsid w:val="008F566D"/>
    <w:rsid w:val="00900627"/>
    <w:rsid w:val="009032D0"/>
    <w:rsid w:val="0092006F"/>
    <w:rsid w:val="009231EC"/>
    <w:rsid w:val="0093018E"/>
    <w:rsid w:val="009451DC"/>
    <w:rsid w:val="00947A52"/>
    <w:rsid w:val="00972373"/>
    <w:rsid w:val="009842F4"/>
    <w:rsid w:val="00991ACB"/>
    <w:rsid w:val="00992DDE"/>
    <w:rsid w:val="0099302F"/>
    <w:rsid w:val="00994BED"/>
    <w:rsid w:val="009A723C"/>
    <w:rsid w:val="009B5181"/>
    <w:rsid w:val="009C371D"/>
    <w:rsid w:val="009F0BD1"/>
    <w:rsid w:val="009F4F5B"/>
    <w:rsid w:val="009F7E61"/>
    <w:rsid w:val="00A02BAB"/>
    <w:rsid w:val="00A36BD3"/>
    <w:rsid w:val="00A40A7E"/>
    <w:rsid w:val="00A5731C"/>
    <w:rsid w:val="00AE3E5D"/>
    <w:rsid w:val="00AE443F"/>
    <w:rsid w:val="00AF1B7D"/>
    <w:rsid w:val="00AF4D30"/>
    <w:rsid w:val="00B06806"/>
    <w:rsid w:val="00B3173D"/>
    <w:rsid w:val="00B6368B"/>
    <w:rsid w:val="00B65B0D"/>
    <w:rsid w:val="00B76D83"/>
    <w:rsid w:val="00BB1CB3"/>
    <w:rsid w:val="00BC0F53"/>
    <w:rsid w:val="00BC7300"/>
    <w:rsid w:val="00C03D74"/>
    <w:rsid w:val="00C10C29"/>
    <w:rsid w:val="00C23D92"/>
    <w:rsid w:val="00C750A8"/>
    <w:rsid w:val="00C849BE"/>
    <w:rsid w:val="00CA4E0F"/>
    <w:rsid w:val="00CB1426"/>
    <w:rsid w:val="00CB4E1A"/>
    <w:rsid w:val="00CC0516"/>
    <w:rsid w:val="00CC1931"/>
    <w:rsid w:val="00CE15AE"/>
    <w:rsid w:val="00CF1779"/>
    <w:rsid w:val="00D064E4"/>
    <w:rsid w:val="00D30991"/>
    <w:rsid w:val="00D332E2"/>
    <w:rsid w:val="00D53016"/>
    <w:rsid w:val="00D56C1E"/>
    <w:rsid w:val="00DA187F"/>
    <w:rsid w:val="00DA7155"/>
    <w:rsid w:val="00DC0AC4"/>
    <w:rsid w:val="00DC1987"/>
    <w:rsid w:val="00DE19BB"/>
    <w:rsid w:val="00E03E47"/>
    <w:rsid w:val="00E059F5"/>
    <w:rsid w:val="00E43AC1"/>
    <w:rsid w:val="00E5026B"/>
    <w:rsid w:val="00E8338D"/>
    <w:rsid w:val="00E94901"/>
    <w:rsid w:val="00EA7BF5"/>
    <w:rsid w:val="00EB01D7"/>
    <w:rsid w:val="00EB2877"/>
    <w:rsid w:val="00EB5DE5"/>
    <w:rsid w:val="00ED29AF"/>
    <w:rsid w:val="00EF4921"/>
    <w:rsid w:val="00F03057"/>
    <w:rsid w:val="00F16372"/>
    <w:rsid w:val="00F16694"/>
    <w:rsid w:val="00F23D65"/>
    <w:rsid w:val="00F47EDA"/>
    <w:rsid w:val="00F524A3"/>
    <w:rsid w:val="00F6229A"/>
    <w:rsid w:val="00F862EC"/>
    <w:rsid w:val="00F969F6"/>
    <w:rsid w:val="00F97DBC"/>
    <w:rsid w:val="00FD3E5A"/>
    <w:rsid w:val="00FE53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D4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06F"/>
    <w:pPr>
      <w:ind w:left="720"/>
      <w:contextualSpacing/>
    </w:pPr>
  </w:style>
  <w:style w:type="paragraph" w:styleId="BalloonText">
    <w:name w:val="Balloon Text"/>
    <w:basedOn w:val="Normal"/>
    <w:link w:val="BalloonTextChar"/>
    <w:uiPriority w:val="99"/>
    <w:semiHidden/>
    <w:unhideWhenUsed/>
    <w:rsid w:val="009F4F5B"/>
    <w:rPr>
      <w:rFonts w:ascii="Tahoma" w:hAnsi="Tahoma" w:cs="Tahoma"/>
      <w:sz w:val="16"/>
      <w:szCs w:val="16"/>
    </w:rPr>
  </w:style>
  <w:style w:type="character" w:customStyle="1" w:styleId="BalloonTextChar">
    <w:name w:val="Balloon Text Char"/>
    <w:basedOn w:val="DefaultParagraphFont"/>
    <w:link w:val="BalloonText"/>
    <w:uiPriority w:val="99"/>
    <w:semiHidden/>
    <w:rsid w:val="009F4F5B"/>
    <w:rPr>
      <w:rFonts w:ascii="Tahoma" w:hAnsi="Tahoma" w:cs="Tahoma"/>
      <w:sz w:val="16"/>
      <w:szCs w:val="16"/>
    </w:rPr>
  </w:style>
  <w:style w:type="character" w:customStyle="1" w:styleId="apple-converted-space">
    <w:name w:val="apple-converted-space"/>
    <w:basedOn w:val="DefaultParagraphFont"/>
    <w:rsid w:val="00CF1779"/>
  </w:style>
  <w:style w:type="character" w:styleId="Strong">
    <w:name w:val="Strong"/>
    <w:basedOn w:val="DefaultParagraphFont"/>
    <w:uiPriority w:val="22"/>
    <w:qFormat/>
    <w:rsid w:val="00E059F5"/>
    <w:rPr>
      <w:b/>
      <w:bCs/>
    </w:rPr>
  </w:style>
  <w:style w:type="paragraph" w:styleId="NormalWeb">
    <w:name w:val="Normal (Web)"/>
    <w:basedOn w:val="Normal"/>
    <w:uiPriority w:val="99"/>
    <w:unhideWhenUsed/>
    <w:rsid w:val="00C750A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750A8"/>
    <w:rPr>
      <w:color w:val="0000FF"/>
      <w:u w:val="single"/>
    </w:rPr>
  </w:style>
  <w:style w:type="character" w:styleId="Emphasis">
    <w:name w:val="Emphasis"/>
    <w:basedOn w:val="DefaultParagraphFont"/>
    <w:uiPriority w:val="20"/>
    <w:qFormat/>
    <w:rsid w:val="00C750A8"/>
    <w:rPr>
      <w:i/>
      <w:iCs/>
    </w:rPr>
  </w:style>
  <w:style w:type="paragraph" w:styleId="FootnoteText">
    <w:name w:val="footnote text"/>
    <w:basedOn w:val="Normal"/>
    <w:link w:val="FootnoteTextChar"/>
    <w:uiPriority w:val="99"/>
    <w:unhideWhenUsed/>
    <w:rsid w:val="00BC0F53"/>
  </w:style>
  <w:style w:type="character" w:customStyle="1" w:styleId="FootnoteTextChar">
    <w:name w:val="Footnote Text Char"/>
    <w:basedOn w:val="DefaultParagraphFont"/>
    <w:link w:val="FootnoteText"/>
    <w:uiPriority w:val="99"/>
    <w:rsid w:val="00BC0F53"/>
  </w:style>
  <w:style w:type="character" w:styleId="FootnoteReference">
    <w:name w:val="footnote reference"/>
    <w:basedOn w:val="DefaultParagraphFont"/>
    <w:uiPriority w:val="99"/>
    <w:unhideWhenUsed/>
    <w:rsid w:val="00BC0F53"/>
    <w:rPr>
      <w:vertAlign w:val="superscript"/>
    </w:rPr>
  </w:style>
  <w:style w:type="table" w:styleId="TableGrid">
    <w:name w:val="Table Grid"/>
    <w:basedOn w:val="TableNormal"/>
    <w:uiPriority w:val="59"/>
    <w:rsid w:val="00A40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6D34"/>
    <w:pPr>
      <w:tabs>
        <w:tab w:val="center" w:pos="4680"/>
        <w:tab w:val="right" w:pos="9360"/>
      </w:tabs>
    </w:pPr>
  </w:style>
  <w:style w:type="character" w:customStyle="1" w:styleId="HeaderChar">
    <w:name w:val="Header Char"/>
    <w:basedOn w:val="DefaultParagraphFont"/>
    <w:link w:val="Header"/>
    <w:uiPriority w:val="99"/>
    <w:rsid w:val="00056D34"/>
  </w:style>
  <w:style w:type="paragraph" w:styleId="Footer">
    <w:name w:val="footer"/>
    <w:basedOn w:val="Normal"/>
    <w:link w:val="FooterChar"/>
    <w:uiPriority w:val="99"/>
    <w:unhideWhenUsed/>
    <w:rsid w:val="00056D34"/>
    <w:pPr>
      <w:tabs>
        <w:tab w:val="center" w:pos="4680"/>
        <w:tab w:val="right" w:pos="9360"/>
      </w:tabs>
    </w:pPr>
  </w:style>
  <w:style w:type="character" w:customStyle="1" w:styleId="FooterChar">
    <w:name w:val="Footer Char"/>
    <w:basedOn w:val="DefaultParagraphFont"/>
    <w:link w:val="Footer"/>
    <w:uiPriority w:val="99"/>
    <w:rsid w:val="0005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6422">
      <w:bodyDiv w:val="1"/>
      <w:marLeft w:val="0"/>
      <w:marRight w:val="0"/>
      <w:marTop w:val="0"/>
      <w:marBottom w:val="0"/>
      <w:divBdr>
        <w:top w:val="none" w:sz="0" w:space="0" w:color="auto"/>
        <w:left w:val="none" w:sz="0" w:space="0" w:color="auto"/>
        <w:bottom w:val="none" w:sz="0" w:space="0" w:color="auto"/>
        <w:right w:val="none" w:sz="0" w:space="0" w:color="auto"/>
      </w:divBdr>
    </w:div>
    <w:div w:id="127867296">
      <w:bodyDiv w:val="1"/>
      <w:marLeft w:val="0"/>
      <w:marRight w:val="0"/>
      <w:marTop w:val="0"/>
      <w:marBottom w:val="0"/>
      <w:divBdr>
        <w:top w:val="none" w:sz="0" w:space="0" w:color="auto"/>
        <w:left w:val="none" w:sz="0" w:space="0" w:color="auto"/>
        <w:bottom w:val="none" w:sz="0" w:space="0" w:color="auto"/>
        <w:right w:val="none" w:sz="0" w:space="0" w:color="auto"/>
      </w:divBdr>
    </w:div>
    <w:div w:id="406731475">
      <w:bodyDiv w:val="1"/>
      <w:marLeft w:val="0"/>
      <w:marRight w:val="0"/>
      <w:marTop w:val="0"/>
      <w:marBottom w:val="0"/>
      <w:divBdr>
        <w:top w:val="none" w:sz="0" w:space="0" w:color="auto"/>
        <w:left w:val="none" w:sz="0" w:space="0" w:color="auto"/>
        <w:bottom w:val="none" w:sz="0" w:space="0" w:color="auto"/>
        <w:right w:val="none" w:sz="0" w:space="0" w:color="auto"/>
      </w:divBdr>
    </w:div>
    <w:div w:id="415172306">
      <w:bodyDiv w:val="1"/>
      <w:marLeft w:val="0"/>
      <w:marRight w:val="0"/>
      <w:marTop w:val="0"/>
      <w:marBottom w:val="0"/>
      <w:divBdr>
        <w:top w:val="none" w:sz="0" w:space="0" w:color="auto"/>
        <w:left w:val="none" w:sz="0" w:space="0" w:color="auto"/>
        <w:bottom w:val="none" w:sz="0" w:space="0" w:color="auto"/>
        <w:right w:val="none" w:sz="0" w:space="0" w:color="auto"/>
      </w:divBdr>
    </w:div>
    <w:div w:id="572357433">
      <w:bodyDiv w:val="1"/>
      <w:marLeft w:val="0"/>
      <w:marRight w:val="0"/>
      <w:marTop w:val="0"/>
      <w:marBottom w:val="0"/>
      <w:divBdr>
        <w:top w:val="none" w:sz="0" w:space="0" w:color="auto"/>
        <w:left w:val="none" w:sz="0" w:space="0" w:color="auto"/>
        <w:bottom w:val="none" w:sz="0" w:space="0" w:color="auto"/>
        <w:right w:val="none" w:sz="0" w:space="0" w:color="auto"/>
      </w:divBdr>
    </w:div>
    <w:div w:id="856046809">
      <w:bodyDiv w:val="1"/>
      <w:marLeft w:val="0"/>
      <w:marRight w:val="0"/>
      <w:marTop w:val="0"/>
      <w:marBottom w:val="0"/>
      <w:divBdr>
        <w:top w:val="none" w:sz="0" w:space="0" w:color="auto"/>
        <w:left w:val="none" w:sz="0" w:space="0" w:color="auto"/>
        <w:bottom w:val="none" w:sz="0" w:space="0" w:color="auto"/>
        <w:right w:val="none" w:sz="0" w:space="0" w:color="auto"/>
      </w:divBdr>
    </w:div>
    <w:div w:id="877931098">
      <w:bodyDiv w:val="1"/>
      <w:marLeft w:val="0"/>
      <w:marRight w:val="0"/>
      <w:marTop w:val="0"/>
      <w:marBottom w:val="0"/>
      <w:divBdr>
        <w:top w:val="none" w:sz="0" w:space="0" w:color="auto"/>
        <w:left w:val="none" w:sz="0" w:space="0" w:color="auto"/>
        <w:bottom w:val="none" w:sz="0" w:space="0" w:color="auto"/>
        <w:right w:val="none" w:sz="0" w:space="0" w:color="auto"/>
      </w:divBdr>
    </w:div>
    <w:div w:id="910962215">
      <w:bodyDiv w:val="1"/>
      <w:marLeft w:val="0"/>
      <w:marRight w:val="0"/>
      <w:marTop w:val="0"/>
      <w:marBottom w:val="0"/>
      <w:divBdr>
        <w:top w:val="none" w:sz="0" w:space="0" w:color="auto"/>
        <w:left w:val="none" w:sz="0" w:space="0" w:color="auto"/>
        <w:bottom w:val="none" w:sz="0" w:space="0" w:color="auto"/>
        <w:right w:val="none" w:sz="0" w:space="0" w:color="auto"/>
      </w:divBdr>
    </w:div>
    <w:div w:id="931360223">
      <w:bodyDiv w:val="1"/>
      <w:marLeft w:val="0"/>
      <w:marRight w:val="0"/>
      <w:marTop w:val="0"/>
      <w:marBottom w:val="0"/>
      <w:divBdr>
        <w:top w:val="none" w:sz="0" w:space="0" w:color="auto"/>
        <w:left w:val="none" w:sz="0" w:space="0" w:color="auto"/>
        <w:bottom w:val="none" w:sz="0" w:space="0" w:color="auto"/>
        <w:right w:val="none" w:sz="0" w:space="0" w:color="auto"/>
      </w:divBdr>
    </w:div>
    <w:div w:id="1109816072">
      <w:bodyDiv w:val="1"/>
      <w:marLeft w:val="0"/>
      <w:marRight w:val="0"/>
      <w:marTop w:val="0"/>
      <w:marBottom w:val="0"/>
      <w:divBdr>
        <w:top w:val="none" w:sz="0" w:space="0" w:color="auto"/>
        <w:left w:val="none" w:sz="0" w:space="0" w:color="auto"/>
        <w:bottom w:val="none" w:sz="0" w:space="0" w:color="auto"/>
        <w:right w:val="none" w:sz="0" w:space="0" w:color="auto"/>
      </w:divBdr>
    </w:div>
    <w:div w:id="1446189073">
      <w:bodyDiv w:val="1"/>
      <w:marLeft w:val="0"/>
      <w:marRight w:val="0"/>
      <w:marTop w:val="0"/>
      <w:marBottom w:val="0"/>
      <w:divBdr>
        <w:top w:val="none" w:sz="0" w:space="0" w:color="auto"/>
        <w:left w:val="none" w:sz="0" w:space="0" w:color="auto"/>
        <w:bottom w:val="none" w:sz="0" w:space="0" w:color="auto"/>
        <w:right w:val="none" w:sz="0" w:space="0" w:color="auto"/>
      </w:divBdr>
    </w:div>
    <w:div w:id="1516384094">
      <w:bodyDiv w:val="1"/>
      <w:marLeft w:val="0"/>
      <w:marRight w:val="0"/>
      <w:marTop w:val="0"/>
      <w:marBottom w:val="0"/>
      <w:divBdr>
        <w:top w:val="none" w:sz="0" w:space="0" w:color="auto"/>
        <w:left w:val="none" w:sz="0" w:space="0" w:color="auto"/>
        <w:bottom w:val="none" w:sz="0" w:space="0" w:color="auto"/>
        <w:right w:val="none" w:sz="0" w:space="0" w:color="auto"/>
      </w:divBdr>
    </w:div>
    <w:div w:id="1586838521">
      <w:bodyDiv w:val="1"/>
      <w:marLeft w:val="0"/>
      <w:marRight w:val="0"/>
      <w:marTop w:val="0"/>
      <w:marBottom w:val="0"/>
      <w:divBdr>
        <w:top w:val="none" w:sz="0" w:space="0" w:color="auto"/>
        <w:left w:val="none" w:sz="0" w:space="0" w:color="auto"/>
        <w:bottom w:val="none" w:sz="0" w:space="0" w:color="auto"/>
        <w:right w:val="none" w:sz="0" w:space="0" w:color="auto"/>
      </w:divBdr>
    </w:div>
    <w:div w:id="1600017378">
      <w:bodyDiv w:val="1"/>
      <w:marLeft w:val="0"/>
      <w:marRight w:val="0"/>
      <w:marTop w:val="0"/>
      <w:marBottom w:val="0"/>
      <w:divBdr>
        <w:top w:val="none" w:sz="0" w:space="0" w:color="auto"/>
        <w:left w:val="none" w:sz="0" w:space="0" w:color="auto"/>
        <w:bottom w:val="none" w:sz="0" w:space="0" w:color="auto"/>
        <w:right w:val="none" w:sz="0" w:space="0" w:color="auto"/>
      </w:divBdr>
    </w:div>
    <w:div w:id="1681662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9E32B2-2A4D-5445-8B2B-730F0492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868</Words>
  <Characters>4952</Characters>
  <Application>Microsoft Macintosh Word</Application>
  <DocSecurity>6</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2016-12-06T18:38:00Z</cp:lastPrinted>
  <dcterms:created xsi:type="dcterms:W3CDTF">2016-12-06T01:04:00Z</dcterms:created>
  <dcterms:modified xsi:type="dcterms:W3CDTF">2016-12-06T22:28:00Z</dcterms:modified>
</cp:coreProperties>
</file>